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98CD" w14:textId="2EE0DDD2" w:rsidR="00E91768" w:rsidRDefault="00E91768" w:rsidP="004F4FBE">
      <w:pPr>
        <w:jc w:val="both"/>
        <w:rPr>
          <w:rFonts w:ascii="Arial" w:hAnsi="Arial" w:cs="Arial"/>
          <w:b/>
          <w:bCs/>
          <w:sz w:val="24"/>
          <w:szCs w:val="24"/>
        </w:rPr>
      </w:pPr>
    </w:p>
    <w:p w14:paraId="412288C6" w14:textId="77777777" w:rsidR="00923023" w:rsidRPr="00A852DA" w:rsidRDefault="00923023" w:rsidP="00923023">
      <w:pPr>
        <w:jc w:val="center"/>
        <w:rPr>
          <w:rFonts w:eastAsia="Calibri" w:cs="Arial"/>
          <w:b/>
          <w:u w:val="single"/>
        </w:rPr>
      </w:pPr>
      <w:r w:rsidRPr="00A852DA">
        <w:rPr>
          <w:rFonts w:eastAsia="Calibri" w:cs="Arial"/>
          <w:b/>
          <w:u w:val="single"/>
        </w:rPr>
        <w:t>SOP Document Tracker</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448"/>
        <w:gridCol w:w="2625"/>
        <w:gridCol w:w="524"/>
        <w:gridCol w:w="2543"/>
      </w:tblGrid>
      <w:tr w:rsidR="00923023" w:rsidRPr="00A852DA" w14:paraId="01591D8F" w14:textId="77777777" w:rsidTr="00B83B71">
        <w:trPr>
          <w:trHeight w:val="261"/>
        </w:trPr>
        <w:tc>
          <w:tcPr>
            <w:tcW w:w="525" w:type="pct"/>
            <w:shd w:val="clear" w:color="auto" w:fill="auto"/>
          </w:tcPr>
          <w:p w14:paraId="64E5FB7B" w14:textId="77777777" w:rsidR="00923023" w:rsidRPr="00AA4D1D" w:rsidRDefault="00923023" w:rsidP="00B83B71">
            <w:pPr>
              <w:spacing w:line="240" w:lineRule="auto"/>
              <w:jc w:val="center"/>
              <w:rPr>
                <w:rFonts w:eastAsia="Batang" w:cs="Arial"/>
              </w:rPr>
            </w:pPr>
            <w:r w:rsidRPr="00AA4D1D">
              <w:rPr>
                <w:rFonts w:eastAsia="Batang" w:cs="Arial"/>
              </w:rPr>
              <w:t>1</w:t>
            </w:r>
          </w:p>
        </w:tc>
        <w:tc>
          <w:tcPr>
            <w:tcW w:w="1346" w:type="pct"/>
            <w:shd w:val="clear" w:color="auto" w:fill="auto"/>
          </w:tcPr>
          <w:p w14:paraId="65ED7892" w14:textId="77777777" w:rsidR="00923023" w:rsidRPr="00AA4D1D" w:rsidRDefault="00923023" w:rsidP="00B83B71">
            <w:pPr>
              <w:spacing w:line="240" w:lineRule="auto"/>
              <w:rPr>
                <w:rFonts w:eastAsia="Batang" w:cs="Arial"/>
              </w:rPr>
            </w:pPr>
            <w:r w:rsidRPr="00AA4D1D">
              <w:rPr>
                <w:rFonts w:eastAsia="Batang" w:cs="Arial"/>
              </w:rPr>
              <w:t>SOP No.</w:t>
            </w:r>
          </w:p>
        </w:tc>
        <w:tc>
          <w:tcPr>
            <w:tcW w:w="3129" w:type="pct"/>
            <w:gridSpan w:val="3"/>
            <w:shd w:val="clear" w:color="auto" w:fill="auto"/>
          </w:tcPr>
          <w:p w14:paraId="62375F8A" w14:textId="00BE7C5B" w:rsidR="00923023" w:rsidRPr="00AA4D1D" w:rsidRDefault="00923023" w:rsidP="00B83B71">
            <w:pPr>
              <w:spacing w:line="240" w:lineRule="auto"/>
              <w:rPr>
                <w:rFonts w:eastAsia="Batang" w:cs="Arial"/>
              </w:rPr>
            </w:pPr>
            <w:r w:rsidRPr="00AA4D1D">
              <w:rPr>
                <w:rFonts w:eastAsia="Batang" w:cs="Arial"/>
              </w:rPr>
              <w:t>S000</w:t>
            </w:r>
            <w:r>
              <w:rPr>
                <w:rFonts w:eastAsia="Batang" w:cs="Arial"/>
              </w:rPr>
              <w:t>2</w:t>
            </w:r>
            <w:r w:rsidR="00AF773A">
              <w:rPr>
                <w:rFonts w:eastAsia="Batang" w:cs="Arial"/>
              </w:rPr>
              <w:t>8</w:t>
            </w:r>
          </w:p>
        </w:tc>
      </w:tr>
      <w:tr w:rsidR="00923023" w:rsidRPr="00A852DA" w14:paraId="2E98E2B6" w14:textId="77777777" w:rsidTr="00B83B71">
        <w:trPr>
          <w:trHeight w:val="261"/>
        </w:trPr>
        <w:tc>
          <w:tcPr>
            <w:tcW w:w="525" w:type="pct"/>
            <w:shd w:val="clear" w:color="auto" w:fill="auto"/>
          </w:tcPr>
          <w:p w14:paraId="52CFA40E" w14:textId="77777777" w:rsidR="00923023" w:rsidRPr="00AA4D1D" w:rsidRDefault="00923023" w:rsidP="00B83B71">
            <w:pPr>
              <w:spacing w:line="240" w:lineRule="auto"/>
              <w:jc w:val="center"/>
              <w:rPr>
                <w:rFonts w:eastAsia="Batang" w:cs="Arial"/>
              </w:rPr>
            </w:pPr>
            <w:r w:rsidRPr="00AA4D1D">
              <w:rPr>
                <w:rFonts w:eastAsia="Batang" w:cs="Arial"/>
              </w:rPr>
              <w:t>2</w:t>
            </w:r>
          </w:p>
        </w:tc>
        <w:tc>
          <w:tcPr>
            <w:tcW w:w="1346" w:type="pct"/>
            <w:shd w:val="clear" w:color="auto" w:fill="auto"/>
          </w:tcPr>
          <w:p w14:paraId="02D59444" w14:textId="77777777" w:rsidR="00923023" w:rsidRPr="00AA4D1D" w:rsidRDefault="00923023" w:rsidP="00B83B71">
            <w:pPr>
              <w:spacing w:line="240" w:lineRule="auto"/>
              <w:rPr>
                <w:rFonts w:eastAsia="Batang" w:cs="Arial"/>
              </w:rPr>
            </w:pPr>
            <w:r w:rsidRPr="00AA4D1D">
              <w:rPr>
                <w:rFonts w:eastAsia="Batang" w:cs="Arial"/>
              </w:rPr>
              <w:t>Doc. ID*</w:t>
            </w:r>
          </w:p>
        </w:tc>
        <w:tc>
          <w:tcPr>
            <w:tcW w:w="3129" w:type="pct"/>
            <w:gridSpan w:val="3"/>
            <w:shd w:val="clear" w:color="auto" w:fill="auto"/>
          </w:tcPr>
          <w:p w14:paraId="56A5B836" w14:textId="1960BEA0" w:rsidR="00923023" w:rsidRPr="00AA4D1D" w:rsidRDefault="00923023" w:rsidP="00B83B71">
            <w:pPr>
              <w:spacing w:line="240" w:lineRule="auto"/>
              <w:rPr>
                <w:rFonts w:eastAsia="Batang" w:cs="Arial"/>
              </w:rPr>
            </w:pPr>
            <w:r>
              <w:rPr>
                <w:rFonts w:eastAsia="Batang" w:cs="Arial"/>
              </w:rPr>
              <w:t>S002</w:t>
            </w:r>
            <w:r w:rsidR="00AF773A">
              <w:rPr>
                <w:rFonts w:eastAsia="Batang" w:cs="Arial"/>
              </w:rPr>
              <w:t>8</w:t>
            </w:r>
            <w:r>
              <w:rPr>
                <w:rFonts w:eastAsia="Batang" w:cs="Arial"/>
              </w:rPr>
              <w:t>ADMIN07012020</w:t>
            </w:r>
          </w:p>
        </w:tc>
      </w:tr>
      <w:tr w:rsidR="00923023" w:rsidRPr="00923023" w14:paraId="337E8BD2" w14:textId="77777777" w:rsidTr="00B83B71">
        <w:trPr>
          <w:trHeight w:val="261"/>
        </w:trPr>
        <w:tc>
          <w:tcPr>
            <w:tcW w:w="525" w:type="pct"/>
            <w:shd w:val="clear" w:color="auto" w:fill="auto"/>
          </w:tcPr>
          <w:p w14:paraId="3A3E2A99" w14:textId="77777777" w:rsidR="00923023" w:rsidRPr="00AA4D1D" w:rsidRDefault="00923023" w:rsidP="00B83B71">
            <w:pPr>
              <w:spacing w:line="240" w:lineRule="auto"/>
              <w:jc w:val="center"/>
              <w:rPr>
                <w:rFonts w:eastAsia="Batang" w:cs="Arial"/>
              </w:rPr>
            </w:pPr>
            <w:r w:rsidRPr="00AA4D1D">
              <w:rPr>
                <w:rFonts w:eastAsia="Batang" w:cs="Arial"/>
              </w:rPr>
              <w:t>3</w:t>
            </w:r>
          </w:p>
        </w:tc>
        <w:tc>
          <w:tcPr>
            <w:tcW w:w="1346" w:type="pct"/>
            <w:shd w:val="clear" w:color="auto" w:fill="auto"/>
          </w:tcPr>
          <w:p w14:paraId="7DF4F82F" w14:textId="77777777" w:rsidR="00923023" w:rsidRPr="00AA4D1D" w:rsidRDefault="00923023" w:rsidP="00B83B71">
            <w:pPr>
              <w:spacing w:line="240" w:lineRule="auto"/>
              <w:rPr>
                <w:rFonts w:eastAsia="Batang" w:cs="Arial"/>
              </w:rPr>
            </w:pPr>
            <w:r w:rsidRPr="00AA4D1D">
              <w:rPr>
                <w:rFonts w:eastAsia="Batang" w:cs="Arial"/>
              </w:rPr>
              <w:t>Title</w:t>
            </w:r>
          </w:p>
        </w:tc>
        <w:tc>
          <w:tcPr>
            <w:tcW w:w="3129" w:type="pct"/>
            <w:gridSpan w:val="3"/>
            <w:shd w:val="clear" w:color="auto" w:fill="auto"/>
          </w:tcPr>
          <w:p w14:paraId="39E223A7" w14:textId="5E79A6DA" w:rsidR="00923023" w:rsidRPr="00923023" w:rsidRDefault="00923023" w:rsidP="00923023">
            <w:pPr>
              <w:pStyle w:val="Heading1"/>
              <w:jc w:val="both"/>
              <w:rPr>
                <w:rFonts w:eastAsia="Batang" w:cs="Arial"/>
              </w:rPr>
            </w:pPr>
            <w:r w:rsidRPr="00923023">
              <w:rPr>
                <w:rFonts w:asciiTheme="minorHAnsi" w:eastAsia="Batang" w:hAnsiTheme="minorHAnsi" w:cs="Arial"/>
                <w:b w:val="0"/>
                <w:bCs w:val="0"/>
                <w:kern w:val="0"/>
                <w:sz w:val="22"/>
                <w:szCs w:val="22"/>
                <w:lang w:val="en-US" w:eastAsia="en-US"/>
              </w:rPr>
              <w:t xml:space="preserve">Safeguards, Gender and Human Rights Policy of Partners in Prosperity </w:t>
            </w:r>
          </w:p>
        </w:tc>
      </w:tr>
      <w:tr w:rsidR="00923023" w:rsidRPr="00A852DA" w14:paraId="70E01044" w14:textId="77777777" w:rsidTr="00B83B71">
        <w:trPr>
          <w:trHeight w:val="261"/>
        </w:trPr>
        <w:tc>
          <w:tcPr>
            <w:tcW w:w="525" w:type="pct"/>
            <w:shd w:val="clear" w:color="auto" w:fill="auto"/>
          </w:tcPr>
          <w:p w14:paraId="18C6BC13" w14:textId="77777777" w:rsidR="00923023" w:rsidRPr="00AA4D1D" w:rsidRDefault="00923023" w:rsidP="00B83B71">
            <w:pPr>
              <w:spacing w:line="240" w:lineRule="auto"/>
              <w:jc w:val="center"/>
              <w:rPr>
                <w:rFonts w:eastAsia="Batang" w:cs="Arial"/>
              </w:rPr>
            </w:pPr>
            <w:r w:rsidRPr="00AA4D1D">
              <w:rPr>
                <w:rFonts w:eastAsia="Batang" w:cs="Arial"/>
              </w:rPr>
              <w:t>4</w:t>
            </w:r>
          </w:p>
        </w:tc>
        <w:tc>
          <w:tcPr>
            <w:tcW w:w="1346" w:type="pct"/>
            <w:shd w:val="clear" w:color="auto" w:fill="auto"/>
          </w:tcPr>
          <w:p w14:paraId="1B29F501" w14:textId="77777777" w:rsidR="00923023" w:rsidRPr="00AA4D1D" w:rsidRDefault="00923023" w:rsidP="00B83B71">
            <w:pPr>
              <w:spacing w:line="240" w:lineRule="auto"/>
              <w:rPr>
                <w:rFonts w:eastAsia="Batang" w:cs="Arial"/>
              </w:rPr>
            </w:pPr>
            <w:r w:rsidRPr="00AA4D1D">
              <w:rPr>
                <w:rFonts w:eastAsia="Batang" w:cs="Arial"/>
              </w:rPr>
              <w:t>E-file name</w:t>
            </w:r>
          </w:p>
        </w:tc>
        <w:tc>
          <w:tcPr>
            <w:tcW w:w="3129" w:type="pct"/>
            <w:gridSpan w:val="3"/>
            <w:shd w:val="clear" w:color="auto" w:fill="auto"/>
          </w:tcPr>
          <w:p w14:paraId="33A8E182" w14:textId="2DA27488" w:rsidR="00923023" w:rsidRPr="00AA4D1D" w:rsidRDefault="00923023" w:rsidP="00B83B71">
            <w:pPr>
              <w:spacing w:line="240" w:lineRule="auto"/>
              <w:rPr>
                <w:rFonts w:eastAsia="Batang" w:cs="Arial"/>
              </w:rPr>
            </w:pPr>
          </w:p>
        </w:tc>
      </w:tr>
      <w:tr w:rsidR="00923023" w:rsidRPr="00A852DA" w14:paraId="0EA08881" w14:textId="77777777" w:rsidTr="00B83B71">
        <w:trPr>
          <w:trHeight w:val="261"/>
        </w:trPr>
        <w:tc>
          <w:tcPr>
            <w:tcW w:w="525" w:type="pct"/>
            <w:shd w:val="clear" w:color="auto" w:fill="auto"/>
          </w:tcPr>
          <w:p w14:paraId="5EDCEAF3" w14:textId="77777777" w:rsidR="00923023" w:rsidRPr="00AA4D1D" w:rsidRDefault="00923023" w:rsidP="00B83B71">
            <w:pPr>
              <w:spacing w:line="240" w:lineRule="auto"/>
              <w:jc w:val="center"/>
              <w:rPr>
                <w:rFonts w:eastAsia="Batang" w:cs="Arial"/>
              </w:rPr>
            </w:pPr>
            <w:r w:rsidRPr="00AA4D1D">
              <w:rPr>
                <w:rFonts w:eastAsia="Batang" w:cs="Arial"/>
              </w:rPr>
              <w:t>5</w:t>
            </w:r>
          </w:p>
        </w:tc>
        <w:tc>
          <w:tcPr>
            <w:tcW w:w="1346" w:type="pct"/>
            <w:shd w:val="clear" w:color="auto" w:fill="auto"/>
          </w:tcPr>
          <w:p w14:paraId="5C2E5BFE" w14:textId="77777777" w:rsidR="00923023" w:rsidRPr="00AA4D1D" w:rsidRDefault="00923023" w:rsidP="00B83B71">
            <w:pPr>
              <w:spacing w:line="240" w:lineRule="auto"/>
              <w:rPr>
                <w:rFonts w:eastAsia="Batang" w:cs="Arial"/>
              </w:rPr>
            </w:pPr>
            <w:r w:rsidRPr="00AA4D1D">
              <w:rPr>
                <w:rFonts w:eastAsia="Batang" w:cs="Arial"/>
              </w:rPr>
              <w:t>Date of Issue</w:t>
            </w:r>
          </w:p>
        </w:tc>
        <w:tc>
          <w:tcPr>
            <w:tcW w:w="3129" w:type="pct"/>
            <w:gridSpan w:val="3"/>
            <w:shd w:val="clear" w:color="auto" w:fill="auto"/>
          </w:tcPr>
          <w:p w14:paraId="798C18CE" w14:textId="0EB41551" w:rsidR="00923023" w:rsidRPr="00AA4D1D" w:rsidRDefault="00923023" w:rsidP="00923023">
            <w:pPr>
              <w:contextualSpacing/>
              <w:jc w:val="both"/>
              <w:rPr>
                <w:rFonts w:eastAsia="Batang" w:cs="Arial"/>
              </w:rPr>
            </w:pPr>
            <w:r w:rsidRPr="00A31B42">
              <w:rPr>
                <w:rFonts w:eastAsia="Batang" w:cs="Arial"/>
              </w:rPr>
              <w:t>Issued on 1 July 2020</w:t>
            </w:r>
            <w:r w:rsidRPr="005B2D91">
              <w:rPr>
                <w:rFonts w:ascii="Arial" w:hAnsi="Arial" w:cs="Arial"/>
                <w:sz w:val="24"/>
                <w:szCs w:val="24"/>
              </w:rPr>
              <w:t xml:space="preserve">    </w:t>
            </w:r>
          </w:p>
        </w:tc>
      </w:tr>
      <w:tr w:rsidR="00923023" w:rsidRPr="00A852DA" w14:paraId="01DDBE7C" w14:textId="77777777" w:rsidTr="00B83B71">
        <w:trPr>
          <w:trHeight w:val="261"/>
        </w:trPr>
        <w:tc>
          <w:tcPr>
            <w:tcW w:w="525" w:type="pct"/>
            <w:shd w:val="clear" w:color="auto" w:fill="auto"/>
          </w:tcPr>
          <w:p w14:paraId="3FA18578" w14:textId="77777777" w:rsidR="00923023" w:rsidRPr="00AA4D1D" w:rsidRDefault="00923023" w:rsidP="00B83B71">
            <w:pPr>
              <w:spacing w:line="240" w:lineRule="auto"/>
              <w:jc w:val="center"/>
              <w:rPr>
                <w:rFonts w:eastAsia="Batang" w:cs="Arial"/>
              </w:rPr>
            </w:pPr>
            <w:r w:rsidRPr="00AA4D1D">
              <w:rPr>
                <w:rFonts w:eastAsia="Batang" w:cs="Arial"/>
              </w:rPr>
              <w:t>6</w:t>
            </w:r>
          </w:p>
        </w:tc>
        <w:tc>
          <w:tcPr>
            <w:tcW w:w="1346" w:type="pct"/>
            <w:shd w:val="clear" w:color="auto" w:fill="auto"/>
          </w:tcPr>
          <w:p w14:paraId="328A26CF" w14:textId="77777777" w:rsidR="00923023" w:rsidRPr="00AA4D1D" w:rsidRDefault="00923023" w:rsidP="00B83B71">
            <w:pPr>
              <w:spacing w:line="240" w:lineRule="auto"/>
              <w:rPr>
                <w:rFonts w:eastAsia="Batang" w:cs="Arial"/>
              </w:rPr>
            </w:pPr>
            <w:r w:rsidRPr="00AA4D1D">
              <w:rPr>
                <w:rFonts w:eastAsia="Batang" w:cs="Arial"/>
              </w:rPr>
              <w:t>Date of Expiry</w:t>
            </w:r>
          </w:p>
        </w:tc>
        <w:tc>
          <w:tcPr>
            <w:tcW w:w="3129" w:type="pct"/>
            <w:gridSpan w:val="3"/>
            <w:shd w:val="clear" w:color="auto" w:fill="auto"/>
          </w:tcPr>
          <w:p w14:paraId="78FFA159" w14:textId="77777777" w:rsidR="00923023" w:rsidRPr="00AA4D1D" w:rsidRDefault="00923023" w:rsidP="00B83B71">
            <w:pPr>
              <w:spacing w:line="240" w:lineRule="auto"/>
              <w:rPr>
                <w:rFonts w:eastAsia="Batang" w:cs="Arial"/>
              </w:rPr>
            </w:pPr>
            <w:r w:rsidRPr="00AA4D1D">
              <w:rPr>
                <w:rFonts w:eastAsia="Batang" w:cs="Arial"/>
              </w:rPr>
              <w:t>Until notified</w:t>
            </w:r>
          </w:p>
        </w:tc>
      </w:tr>
      <w:tr w:rsidR="00923023" w:rsidRPr="00A852DA" w14:paraId="62A2A14C" w14:textId="77777777" w:rsidTr="00B83B71">
        <w:trPr>
          <w:trHeight w:val="377"/>
        </w:trPr>
        <w:tc>
          <w:tcPr>
            <w:tcW w:w="525" w:type="pct"/>
            <w:shd w:val="clear" w:color="auto" w:fill="auto"/>
          </w:tcPr>
          <w:p w14:paraId="32E144EF" w14:textId="77777777" w:rsidR="00923023" w:rsidRPr="00AA4D1D" w:rsidRDefault="00923023" w:rsidP="00B83B71">
            <w:pPr>
              <w:spacing w:line="240" w:lineRule="auto"/>
              <w:jc w:val="center"/>
              <w:rPr>
                <w:rFonts w:eastAsia="Batang" w:cs="Arial"/>
              </w:rPr>
            </w:pPr>
            <w:r w:rsidRPr="00AA4D1D">
              <w:rPr>
                <w:rFonts w:eastAsia="Batang" w:cs="Arial"/>
              </w:rPr>
              <w:t>7</w:t>
            </w:r>
          </w:p>
        </w:tc>
        <w:tc>
          <w:tcPr>
            <w:tcW w:w="1346" w:type="pct"/>
            <w:shd w:val="clear" w:color="auto" w:fill="auto"/>
          </w:tcPr>
          <w:p w14:paraId="071E4CE9" w14:textId="54C20E16" w:rsidR="00923023" w:rsidRPr="00AA4D1D" w:rsidRDefault="00923023" w:rsidP="00B83B71">
            <w:pPr>
              <w:spacing w:line="240" w:lineRule="auto"/>
              <w:rPr>
                <w:rFonts w:eastAsia="Batang" w:cs="Arial"/>
              </w:rPr>
            </w:pPr>
            <w:r w:rsidRPr="00AA4D1D">
              <w:rPr>
                <w:rFonts w:eastAsia="Batang" w:cs="Arial"/>
              </w:rPr>
              <w:t xml:space="preserve">Dates Previous Versions </w:t>
            </w:r>
          </w:p>
        </w:tc>
        <w:tc>
          <w:tcPr>
            <w:tcW w:w="1443" w:type="pct"/>
            <w:shd w:val="clear" w:color="auto" w:fill="auto"/>
          </w:tcPr>
          <w:p w14:paraId="30794716" w14:textId="77777777" w:rsidR="00923023" w:rsidRPr="00AA4D1D" w:rsidRDefault="00923023" w:rsidP="00B83B71">
            <w:pPr>
              <w:spacing w:line="240" w:lineRule="auto"/>
              <w:rPr>
                <w:rFonts w:eastAsia="Batang" w:cs="Arial"/>
              </w:rPr>
            </w:pPr>
          </w:p>
        </w:tc>
        <w:tc>
          <w:tcPr>
            <w:tcW w:w="1686" w:type="pct"/>
            <w:gridSpan w:val="2"/>
            <w:shd w:val="clear" w:color="auto" w:fill="auto"/>
          </w:tcPr>
          <w:p w14:paraId="37A8D290" w14:textId="77777777" w:rsidR="00923023" w:rsidRPr="00AA4D1D" w:rsidRDefault="00923023" w:rsidP="00B83B71">
            <w:pPr>
              <w:spacing w:line="240" w:lineRule="auto"/>
              <w:rPr>
                <w:rFonts w:eastAsia="Batang" w:cs="Arial"/>
              </w:rPr>
            </w:pPr>
          </w:p>
        </w:tc>
      </w:tr>
      <w:tr w:rsidR="00923023" w:rsidRPr="00A852DA" w14:paraId="7CE95EA4" w14:textId="77777777" w:rsidTr="00B83B71">
        <w:trPr>
          <w:trHeight w:val="261"/>
        </w:trPr>
        <w:tc>
          <w:tcPr>
            <w:tcW w:w="525" w:type="pct"/>
            <w:shd w:val="clear" w:color="auto" w:fill="auto"/>
          </w:tcPr>
          <w:p w14:paraId="1412C94A" w14:textId="77777777" w:rsidR="00923023" w:rsidRPr="00AA4D1D" w:rsidRDefault="00923023" w:rsidP="00B83B71">
            <w:pPr>
              <w:spacing w:line="240" w:lineRule="auto"/>
              <w:jc w:val="center"/>
              <w:rPr>
                <w:rFonts w:eastAsia="Batang" w:cs="Arial"/>
              </w:rPr>
            </w:pPr>
            <w:r w:rsidRPr="00AA4D1D">
              <w:rPr>
                <w:rFonts w:eastAsia="Batang" w:cs="Arial"/>
              </w:rPr>
              <w:t>8</w:t>
            </w:r>
          </w:p>
        </w:tc>
        <w:tc>
          <w:tcPr>
            <w:tcW w:w="1346" w:type="pct"/>
            <w:shd w:val="clear" w:color="auto" w:fill="auto"/>
          </w:tcPr>
          <w:p w14:paraId="2FC0C5D8" w14:textId="77777777" w:rsidR="00923023" w:rsidRPr="00AA4D1D" w:rsidRDefault="00923023" w:rsidP="00B83B71">
            <w:pPr>
              <w:spacing w:line="240" w:lineRule="auto"/>
              <w:rPr>
                <w:rFonts w:eastAsia="Batang" w:cs="Arial"/>
              </w:rPr>
            </w:pPr>
            <w:r w:rsidRPr="00AA4D1D">
              <w:rPr>
                <w:rFonts w:eastAsia="Batang" w:cs="Arial"/>
              </w:rPr>
              <w:t xml:space="preserve">Date of withdrawal </w:t>
            </w:r>
          </w:p>
        </w:tc>
        <w:tc>
          <w:tcPr>
            <w:tcW w:w="1443" w:type="pct"/>
            <w:shd w:val="clear" w:color="auto" w:fill="auto"/>
          </w:tcPr>
          <w:p w14:paraId="1172BE85" w14:textId="77777777" w:rsidR="00923023" w:rsidRPr="00AA4D1D" w:rsidRDefault="00923023" w:rsidP="00B83B71">
            <w:pPr>
              <w:spacing w:line="240" w:lineRule="auto"/>
              <w:rPr>
                <w:rFonts w:eastAsia="Batang" w:cs="Arial"/>
              </w:rPr>
            </w:pPr>
          </w:p>
        </w:tc>
        <w:tc>
          <w:tcPr>
            <w:tcW w:w="1686" w:type="pct"/>
            <w:gridSpan w:val="2"/>
            <w:shd w:val="clear" w:color="auto" w:fill="auto"/>
          </w:tcPr>
          <w:p w14:paraId="7A03BFFE" w14:textId="77777777" w:rsidR="00923023" w:rsidRPr="00AA4D1D" w:rsidRDefault="00923023" w:rsidP="00B83B71">
            <w:pPr>
              <w:spacing w:line="240" w:lineRule="auto"/>
              <w:rPr>
                <w:rFonts w:eastAsia="Batang" w:cs="Arial"/>
              </w:rPr>
            </w:pPr>
          </w:p>
        </w:tc>
      </w:tr>
      <w:tr w:rsidR="00923023" w:rsidRPr="00A852DA" w14:paraId="638A84CF" w14:textId="77777777" w:rsidTr="00B83B71">
        <w:trPr>
          <w:trHeight w:val="523"/>
        </w:trPr>
        <w:tc>
          <w:tcPr>
            <w:tcW w:w="525" w:type="pct"/>
            <w:shd w:val="clear" w:color="auto" w:fill="auto"/>
          </w:tcPr>
          <w:p w14:paraId="1FE0C506" w14:textId="77777777" w:rsidR="00923023" w:rsidRPr="00AA4D1D" w:rsidRDefault="00923023" w:rsidP="00B83B71">
            <w:pPr>
              <w:spacing w:line="240" w:lineRule="auto"/>
              <w:jc w:val="center"/>
              <w:rPr>
                <w:rFonts w:eastAsia="Batang" w:cs="Arial"/>
              </w:rPr>
            </w:pPr>
            <w:r w:rsidRPr="00AA4D1D">
              <w:rPr>
                <w:rFonts w:eastAsia="Batang" w:cs="Arial"/>
              </w:rPr>
              <w:t>9</w:t>
            </w:r>
          </w:p>
        </w:tc>
        <w:tc>
          <w:tcPr>
            <w:tcW w:w="1346" w:type="pct"/>
            <w:shd w:val="clear" w:color="auto" w:fill="auto"/>
          </w:tcPr>
          <w:p w14:paraId="0CF32C02" w14:textId="77777777" w:rsidR="00923023" w:rsidRPr="00AA4D1D" w:rsidRDefault="00923023" w:rsidP="00B83B71">
            <w:pPr>
              <w:spacing w:line="240" w:lineRule="auto"/>
              <w:rPr>
                <w:rFonts w:eastAsia="Batang" w:cs="Arial"/>
              </w:rPr>
            </w:pPr>
            <w:r w:rsidRPr="00AA4D1D">
              <w:rPr>
                <w:rFonts w:eastAsia="Batang" w:cs="Arial"/>
              </w:rPr>
              <w:t>Holder Name and Designation</w:t>
            </w:r>
          </w:p>
        </w:tc>
        <w:tc>
          <w:tcPr>
            <w:tcW w:w="3129" w:type="pct"/>
            <w:gridSpan w:val="3"/>
            <w:shd w:val="clear" w:color="auto" w:fill="auto"/>
          </w:tcPr>
          <w:p w14:paraId="67EBFE60" w14:textId="77777777" w:rsidR="00923023" w:rsidRPr="00AA4D1D" w:rsidRDefault="00923023" w:rsidP="00B83B71">
            <w:pPr>
              <w:spacing w:line="240" w:lineRule="auto"/>
              <w:rPr>
                <w:rFonts w:eastAsia="Batang" w:cs="Arial"/>
              </w:rPr>
            </w:pPr>
          </w:p>
        </w:tc>
      </w:tr>
      <w:tr w:rsidR="00923023" w:rsidRPr="00A852DA" w14:paraId="32F8356F" w14:textId="77777777" w:rsidTr="00B83B71">
        <w:trPr>
          <w:trHeight w:val="537"/>
        </w:trPr>
        <w:tc>
          <w:tcPr>
            <w:tcW w:w="525" w:type="pct"/>
            <w:shd w:val="clear" w:color="auto" w:fill="auto"/>
          </w:tcPr>
          <w:p w14:paraId="5415F488" w14:textId="77777777" w:rsidR="00923023" w:rsidRPr="00AA4D1D" w:rsidRDefault="00923023" w:rsidP="00B83B71">
            <w:pPr>
              <w:spacing w:line="240" w:lineRule="auto"/>
              <w:jc w:val="center"/>
              <w:rPr>
                <w:rFonts w:eastAsia="Batang" w:cs="Arial"/>
              </w:rPr>
            </w:pPr>
            <w:r w:rsidRPr="00AA4D1D">
              <w:rPr>
                <w:rFonts w:eastAsia="Batang" w:cs="Arial"/>
              </w:rPr>
              <w:t>10</w:t>
            </w:r>
          </w:p>
        </w:tc>
        <w:tc>
          <w:tcPr>
            <w:tcW w:w="1346" w:type="pct"/>
            <w:shd w:val="clear" w:color="auto" w:fill="auto"/>
          </w:tcPr>
          <w:p w14:paraId="6952DE7E" w14:textId="77777777" w:rsidR="00923023" w:rsidRPr="00AA4D1D" w:rsidRDefault="00923023" w:rsidP="00B83B71">
            <w:pPr>
              <w:spacing w:line="240" w:lineRule="auto"/>
              <w:rPr>
                <w:rFonts w:eastAsia="Batang" w:cs="Arial"/>
              </w:rPr>
            </w:pPr>
            <w:r w:rsidRPr="00AA4D1D">
              <w:rPr>
                <w:rFonts w:eastAsia="Batang" w:cs="Arial"/>
              </w:rPr>
              <w:t>Authorized Issuer</w:t>
            </w:r>
          </w:p>
        </w:tc>
        <w:tc>
          <w:tcPr>
            <w:tcW w:w="3129" w:type="pct"/>
            <w:gridSpan w:val="3"/>
            <w:shd w:val="clear" w:color="auto" w:fill="auto"/>
          </w:tcPr>
          <w:p w14:paraId="2B2E86DA" w14:textId="77777777" w:rsidR="00923023" w:rsidRPr="00AA4D1D" w:rsidRDefault="00923023" w:rsidP="00B83B71">
            <w:pPr>
              <w:spacing w:line="240" w:lineRule="auto"/>
              <w:rPr>
                <w:rFonts w:eastAsia="Batang" w:cs="Arial"/>
              </w:rPr>
            </w:pPr>
            <w:r w:rsidRPr="00AA4D1D">
              <w:rPr>
                <w:rFonts w:eastAsia="Batang" w:cs="Arial"/>
              </w:rPr>
              <w:t>Mr. Manab Chakraborty, CEO</w:t>
            </w:r>
          </w:p>
        </w:tc>
      </w:tr>
      <w:tr w:rsidR="00923023" w:rsidRPr="00A852DA" w14:paraId="46CA973C" w14:textId="77777777" w:rsidTr="00B83B71">
        <w:trPr>
          <w:trHeight w:val="523"/>
        </w:trPr>
        <w:tc>
          <w:tcPr>
            <w:tcW w:w="525" w:type="pct"/>
            <w:shd w:val="clear" w:color="auto" w:fill="auto"/>
          </w:tcPr>
          <w:p w14:paraId="7726ADCD" w14:textId="77777777" w:rsidR="00923023" w:rsidRPr="00AA4D1D" w:rsidRDefault="00923023" w:rsidP="00B83B71">
            <w:pPr>
              <w:spacing w:line="240" w:lineRule="auto"/>
              <w:jc w:val="center"/>
              <w:rPr>
                <w:rFonts w:eastAsia="Batang" w:cs="Arial"/>
              </w:rPr>
            </w:pPr>
            <w:r w:rsidRPr="00AA4D1D">
              <w:rPr>
                <w:rFonts w:eastAsia="Batang" w:cs="Arial"/>
              </w:rPr>
              <w:t>11</w:t>
            </w:r>
          </w:p>
        </w:tc>
        <w:tc>
          <w:tcPr>
            <w:tcW w:w="1346" w:type="pct"/>
            <w:shd w:val="clear" w:color="auto" w:fill="auto"/>
          </w:tcPr>
          <w:p w14:paraId="21E68072" w14:textId="77777777" w:rsidR="00923023" w:rsidRPr="00AA4D1D" w:rsidRDefault="00923023" w:rsidP="00B83B71">
            <w:pPr>
              <w:spacing w:line="240" w:lineRule="auto"/>
              <w:rPr>
                <w:rFonts w:eastAsia="Batang" w:cs="Arial"/>
              </w:rPr>
            </w:pPr>
            <w:r w:rsidRPr="00AA4D1D">
              <w:rPr>
                <w:rFonts w:eastAsia="Batang" w:cs="Arial"/>
              </w:rPr>
              <w:t>Signature of the issuer</w:t>
            </w:r>
          </w:p>
        </w:tc>
        <w:tc>
          <w:tcPr>
            <w:tcW w:w="3129" w:type="pct"/>
            <w:gridSpan w:val="3"/>
            <w:shd w:val="clear" w:color="auto" w:fill="auto"/>
          </w:tcPr>
          <w:p w14:paraId="22DA4957" w14:textId="77777777" w:rsidR="00923023" w:rsidRPr="00AA4D1D" w:rsidRDefault="00923023" w:rsidP="00B83B71">
            <w:pPr>
              <w:spacing w:line="240" w:lineRule="auto"/>
              <w:rPr>
                <w:rFonts w:eastAsia="Batang" w:cs="Arial"/>
              </w:rPr>
            </w:pPr>
          </w:p>
          <w:p w14:paraId="2B3C63BA" w14:textId="77777777" w:rsidR="00923023" w:rsidRPr="00AA4D1D" w:rsidRDefault="00923023" w:rsidP="00B83B71">
            <w:pPr>
              <w:spacing w:line="240" w:lineRule="auto"/>
              <w:rPr>
                <w:rFonts w:eastAsia="Batang" w:cs="Arial"/>
              </w:rPr>
            </w:pPr>
          </w:p>
        </w:tc>
      </w:tr>
      <w:tr w:rsidR="00923023" w:rsidRPr="00A852DA" w14:paraId="4AB491A6" w14:textId="77777777" w:rsidTr="00B83B71">
        <w:trPr>
          <w:trHeight w:val="523"/>
        </w:trPr>
        <w:tc>
          <w:tcPr>
            <w:tcW w:w="525" w:type="pct"/>
            <w:shd w:val="clear" w:color="auto" w:fill="auto"/>
          </w:tcPr>
          <w:p w14:paraId="6518A945" w14:textId="77777777" w:rsidR="00923023" w:rsidRPr="00AA4D1D" w:rsidRDefault="00923023" w:rsidP="00B83B71">
            <w:pPr>
              <w:spacing w:line="240" w:lineRule="auto"/>
              <w:jc w:val="center"/>
              <w:rPr>
                <w:rFonts w:eastAsia="Batang" w:cs="Arial"/>
              </w:rPr>
            </w:pPr>
            <w:r w:rsidRPr="00AA4D1D">
              <w:rPr>
                <w:rFonts w:eastAsia="Batang" w:cs="Arial"/>
              </w:rPr>
              <w:t>12</w:t>
            </w:r>
          </w:p>
        </w:tc>
        <w:tc>
          <w:tcPr>
            <w:tcW w:w="1346" w:type="pct"/>
            <w:shd w:val="clear" w:color="auto" w:fill="auto"/>
          </w:tcPr>
          <w:p w14:paraId="7E22990D" w14:textId="77777777" w:rsidR="00923023" w:rsidRPr="00AA4D1D" w:rsidRDefault="00923023" w:rsidP="00B83B71">
            <w:pPr>
              <w:spacing w:line="240" w:lineRule="auto"/>
              <w:rPr>
                <w:rFonts w:eastAsia="Batang" w:cs="Arial"/>
              </w:rPr>
            </w:pPr>
            <w:r w:rsidRPr="00AA4D1D">
              <w:rPr>
                <w:rFonts w:eastAsia="Batang" w:cs="Arial"/>
              </w:rPr>
              <w:t>Place and Date of Signature</w:t>
            </w:r>
          </w:p>
        </w:tc>
        <w:tc>
          <w:tcPr>
            <w:tcW w:w="1731" w:type="pct"/>
            <w:gridSpan w:val="2"/>
            <w:shd w:val="clear" w:color="auto" w:fill="auto"/>
          </w:tcPr>
          <w:p w14:paraId="10567186" w14:textId="79AC0428" w:rsidR="00923023" w:rsidRPr="00AA4D1D" w:rsidRDefault="00923023" w:rsidP="00B83B71">
            <w:pPr>
              <w:spacing w:line="240" w:lineRule="auto"/>
              <w:rPr>
                <w:rFonts w:eastAsia="Batang" w:cs="Arial"/>
              </w:rPr>
            </w:pPr>
            <w:r w:rsidRPr="00AA4D1D">
              <w:rPr>
                <w:rFonts w:eastAsia="Batang" w:cs="Arial"/>
              </w:rPr>
              <w:t xml:space="preserve">Place: </w:t>
            </w:r>
            <w:r>
              <w:rPr>
                <w:rFonts w:eastAsia="Batang" w:cs="Arial"/>
              </w:rPr>
              <w:t>Delhi</w:t>
            </w:r>
          </w:p>
        </w:tc>
        <w:tc>
          <w:tcPr>
            <w:tcW w:w="1398" w:type="pct"/>
            <w:shd w:val="clear" w:color="auto" w:fill="auto"/>
          </w:tcPr>
          <w:p w14:paraId="5F4DE770" w14:textId="6AA689BD" w:rsidR="00923023" w:rsidRPr="00AA4D1D" w:rsidRDefault="00923023" w:rsidP="00B83B71">
            <w:pPr>
              <w:spacing w:line="240" w:lineRule="auto"/>
              <w:rPr>
                <w:rFonts w:eastAsia="Batang" w:cs="Arial"/>
              </w:rPr>
            </w:pPr>
            <w:r w:rsidRPr="00AA4D1D">
              <w:rPr>
                <w:rFonts w:eastAsia="Batang" w:cs="Arial"/>
              </w:rPr>
              <w:t>Date: 1/1</w:t>
            </w:r>
            <w:r>
              <w:rPr>
                <w:rFonts w:eastAsia="Batang" w:cs="Arial"/>
              </w:rPr>
              <w:t>7/2020</w:t>
            </w:r>
          </w:p>
        </w:tc>
      </w:tr>
    </w:tbl>
    <w:p w14:paraId="0C445E9B" w14:textId="77777777" w:rsidR="00923023" w:rsidRPr="00A852DA" w:rsidRDefault="00923023" w:rsidP="00923023">
      <w:pPr>
        <w:spacing w:line="240" w:lineRule="auto"/>
        <w:jc w:val="center"/>
        <w:rPr>
          <w:rFonts w:eastAsia="Calibri" w:cs="Arial"/>
          <w:u w:val="single"/>
        </w:rPr>
      </w:pPr>
    </w:p>
    <w:p w14:paraId="35EE16DB" w14:textId="77777777" w:rsidR="00923023" w:rsidRPr="00A852DA" w:rsidRDefault="00923023" w:rsidP="00923023">
      <w:pPr>
        <w:spacing w:line="240" w:lineRule="auto"/>
        <w:rPr>
          <w:rFonts w:eastAsia="Calibri" w:cs="Arial"/>
        </w:rPr>
      </w:pPr>
      <w:r w:rsidRPr="00A852DA">
        <w:rPr>
          <w:rFonts w:eastAsia="Calibri" w:cs="Arial"/>
        </w:rPr>
        <w:t>PS: *This document replaces all previous versions, if any.</w:t>
      </w:r>
    </w:p>
    <w:p w14:paraId="09EFB265" w14:textId="77777777" w:rsidR="00923023" w:rsidRDefault="00923023" w:rsidP="00923023">
      <w:pPr>
        <w:rPr>
          <w:rFonts w:asciiTheme="majorHAnsi" w:eastAsiaTheme="majorEastAsia" w:hAnsiTheme="majorHAnsi" w:cstheme="majorBidi"/>
          <w:color w:val="365F91" w:themeColor="accent1" w:themeShade="BF"/>
          <w:sz w:val="26"/>
          <w:szCs w:val="26"/>
        </w:rPr>
      </w:pPr>
    </w:p>
    <w:p w14:paraId="4B9B7035" w14:textId="77777777" w:rsidR="00923023" w:rsidRDefault="00923023" w:rsidP="00923023">
      <w:pPr>
        <w:rPr>
          <w:rFonts w:asciiTheme="majorHAnsi" w:eastAsiaTheme="majorEastAsia" w:hAnsiTheme="majorHAnsi" w:cstheme="majorBidi"/>
          <w:color w:val="365F91" w:themeColor="accent1" w:themeShade="BF"/>
          <w:sz w:val="26"/>
          <w:szCs w:val="26"/>
        </w:rPr>
      </w:pPr>
      <w:r>
        <w:br w:type="page"/>
      </w:r>
    </w:p>
    <w:p w14:paraId="03AA8E52" w14:textId="77777777" w:rsidR="00923023" w:rsidRDefault="00923023" w:rsidP="004F4FBE">
      <w:pPr>
        <w:jc w:val="both"/>
        <w:rPr>
          <w:rFonts w:ascii="Arial" w:hAnsi="Arial" w:cs="Arial"/>
          <w:b/>
          <w:bCs/>
          <w:sz w:val="24"/>
          <w:szCs w:val="24"/>
        </w:rPr>
      </w:pPr>
    </w:p>
    <w:p w14:paraId="1CB098E6" w14:textId="7ADCF5A5" w:rsidR="006C02CB" w:rsidRPr="005B2D91" w:rsidRDefault="00CC08C3" w:rsidP="004F4FBE">
      <w:pPr>
        <w:pStyle w:val="Heading1"/>
        <w:jc w:val="both"/>
      </w:pPr>
      <w:r>
        <w:t>Safeguards</w:t>
      </w:r>
      <w:r w:rsidR="006D6CD3">
        <w:t xml:space="preserve">, </w:t>
      </w:r>
      <w:r w:rsidR="00986877" w:rsidRPr="005B2D91">
        <w:t xml:space="preserve">Gender </w:t>
      </w:r>
      <w:r w:rsidR="006D6CD3">
        <w:t xml:space="preserve">and Human Rights </w:t>
      </w:r>
      <w:r w:rsidR="00986877" w:rsidRPr="005B2D91">
        <w:t>Policy</w:t>
      </w:r>
      <w:r w:rsidR="005F3B0F" w:rsidRPr="005B2D91">
        <w:t xml:space="preserve"> </w:t>
      </w:r>
      <w:r w:rsidR="005B2D91" w:rsidRPr="005B2D91">
        <w:t xml:space="preserve">of Partners in Prosperity </w:t>
      </w:r>
    </w:p>
    <w:p w14:paraId="07D2BC6C" w14:textId="77777777" w:rsidR="00CC08C3" w:rsidRPr="005A1DD2" w:rsidRDefault="00CC08C3" w:rsidP="004F4FBE">
      <w:pPr>
        <w:pStyle w:val="Heading2"/>
        <w:jc w:val="both"/>
        <w:rPr>
          <w:lang w:val="en-GB" w:eastAsia="en-GB"/>
        </w:rPr>
      </w:pPr>
      <w:r w:rsidRPr="005A1DD2">
        <w:rPr>
          <w:lang w:val="en-GB" w:eastAsia="en-GB"/>
        </w:rPr>
        <w:t>Purpose</w:t>
      </w:r>
    </w:p>
    <w:p w14:paraId="3A9337B4" w14:textId="16668AEC" w:rsidR="00CC08C3" w:rsidRPr="00873B86" w:rsidRDefault="00CC08C3" w:rsidP="004F4FBE">
      <w:pPr>
        <w:shd w:val="clear" w:color="auto" w:fill="FFFFFF"/>
        <w:spacing w:after="150" w:line="240" w:lineRule="auto"/>
        <w:jc w:val="both"/>
        <w:rPr>
          <w:rFonts w:ascii="Arial" w:eastAsia="Times New Roman" w:hAnsi="Arial" w:cs="Arial"/>
          <w:color w:val="000000"/>
          <w:sz w:val="24"/>
          <w:szCs w:val="24"/>
          <w:lang w:val="en-GB" w:eastAsia="en-GB"/>
        </w:rPr>
      </w:pPr>
      <w:r>
        <w:rPr>
          <w:rFonts w:ascii="Verdana" w:eastAsia="Times New Roman" w:hAnsi="Verdana" w:cs="Times New Roman"/>
          <w:color w:val="000000"/>
          <w:sz w:val="24"/>
          <w:szCs w:val="24"/>
          <w:lang w:val="en-GB" w:eastAsia="en-GB"/>
        </w:rPr>
        <w:t xml:space="preserve">Partners in Prosperity (PnP) </w:t>
      </w:r>
      <w:r w:rsidRPr="005A1DD2">
        <w:rPr>
          <w:rFonts w:ascii="Verdana" w:eastAsia="Times New Roman" w:hAnsi="Verdana" w:cs="Times New Roman"/>
          <w:color w:val="000000"/>
          <w:sz w:val="24"/>
          <w:szCs w:val="24"/>
          <w:lang w:val="en-GB" w:eastAsia="en-GB"/>
        </w:rPr>
        <w:t xml:space="preserve">acknowledges its duty of care to protect and </w:t>
      </w:r>
      <w:r w:rsidRPr="00873B86">
        <w:rPr>
          <w:rFonts w:ascii="Arial" w:eastAsia="Times New Roman" w:hAnsi="Arial" w:cs="Arial"/>
          <w:color w:val="000000"/>
          <w:sz w:val="24"/>
          <w:szCs w:val="24"/>
          <w:lang w:val="en-GB" w:eastAsia="en-GB"/>
        </w:rPr>
        <w:t xml:space="preserve">promote the welfare of any persons </w:t>
      </w:r>
      <w:r w:rsidR="006D6CD3">
        <w:rPr>
          <w:rFonts w:ascii="Arial" w:eastAsia="Times New Roman" w:hAnsi="Arial" w:cs="Arial"/>
          <w:color w:val="000000"/>
          <w:sz w:val="24"/>
          <w:szCs w:val="24"/>
          <w:lang w:val="en-GB" w:eastAsia="en-GB"/>
        </w:rPr>
        <w:t xml:space="preserve">and nature </w:t>
      </w:r>
      <w:r w:rsidRPr="00873B86">
        <w:rPr>
          <w:rFonts w:ascii="Arial" w:eastAsia="Times New Roman" w:hAnsi="Arial" w:cs="Arial"/>
          <w:color w:val="000000"/>
          <w:sz w:val="24"/>
          <w:szCs w:val="24"/>
          <w:lang w:val="en-GB" w:eastAsia="en-GB"/>
        </w:rPr>
        <w:t>it comes into contact with through its work.</w:t>
      </w:r>
    </w:p>
    <w:p w14:paraId="3CCCD544" w14:textId="77777777" w:rsidR="00CC08C3" w:rsidRPr="00873B86" w:rsidRDefault="00CC08C3"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PnP recognises that unequal power dynamics in relationships, particularly gender inequality, can lead to increased vulnerability. PnP commits to creating a safeguarding environment where potential risks are identified, considered and minimised with clear processes and procedures in place for redress.</w:t>
      </w:r>
    </w:p>
    <w:p w14:paraId="191E56F1" w14:textId="77777777" w:rsidR="00CC08C3" w:rsidRPr="00873B86" w:rsidRDefault="00CC08C3"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This Policy lays out the commitments made by PnP, and informs staff, non-staff personnel, consultants, contractors, and partner organisations and institutions of their responsibilities, in relation to safeguarding.</w:t>
      </w:r>
    </w:p>
    <w:p w14:paraId="567FE5AF" w14:textId="77777777" w:rsidR="00794A5E" w:rsidRPr="005A1DD2" w:rsidRDefault="00794A5E" w:rsidP="004F4FBE">
      <w:pPr>
        <w:pStyle w:val="Heading2"/>
        <w:jc w:val="both"/>
        <w:rPr>
          <w:lang w:val="en-GB" w:eastAsia="en-GB"/>
        </w:rPr>
      </w:pPr>
      <w:r w:rsidRPr="005A1DD2">
        <w:rPr>
          <w:lang w:val="en-GB" w:eastAsia="en-GB"/>
        </w:rPr>
        <w:t>Policy Statement</w:t>
      </w:r>
    </w:p>
    <w:p w14:paraId="039B4B03" w14:textId="74A6798F" w:rsidR="00794A5E" w:rsidRPr="00873B86" w:rsidRDefault="00794A5E"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PnP values and maintains an organisational culture that is respectful, ethical and fair.</w:t>
      </w:r>
    </w:p>
    <w:p w14:paraId="77995CCC" w14:textId="73689954" w:rsidR="00794A5E" w:rsidRPr="00873B86" w:rsidRDefault="00794A5E"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PnP commits to treating everyone equally, irrespective of sex, age, race, national or ethnic origin, colour, religion, sexual orientation, gender identity or expression, or disability.</w:t>
      </w:r>
    </w:p>
    <w:p w14:paraId="5189EC7A" w14:textId="3675A9F8" w:rsidR="00794A5E" w:rsidRPr="00873B86" w:rsidRDefault="00794A5E"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PnP has zero tolerance towards any form of harm and will take all reasonable steps to safeguard any person</w:t>
      </w:r>
      <w:r w:rsidR="006D6CD3">
        <w:rPr>
          <w:rFonts w:ascii="Arial" w:eastAsia="Times New Roman" w:hAnsi="Arial" w:cs="Arial"/>
          <w:color w:val="000000"/>
          <w:sz w:val="24"/>
          <w:szCs w:val="24"/>
          <w:lang w:val="en-GB" w:eastAsia="en-GB"/>
        </w:rPr>
        <w:t xml:space="preserve"> -adult or children -</w:t>
      </w:r>
      <w:r w:rsidRPr="00873B86">
        <w:rPr>
          <w:rFonts w:ascii="Arial" w:eastAsia="Times New Roman" w:hAnsi="Arial" w:cs="Arial"/>
          <w:color w:val="000000"/>
          <w:sz w:val="24"/>
          <w:szCs w:val="24"/>
          <w:lang w:val="en-GB" w:eastAsia="en-GB"/>
        </w:rPr>
        <w:t xml:space="preserve"> linked to the delivery of its work, either by its staff, non-staff personnel, contractors, consultants, or by any partner organisation or institution, from any form of sexual exploitation, abuse and harassment. </w:t>
      </w:r>
    </w:p>
    <w:p w14:paraId="3341F397" w14:textId="49718F60" w:rsidR="00794A5E" w:rsidRPr="00873B86" w:rsidRDefault="00794A5E"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Safeguarding in this Policy means the steps that PnP takes to keep all persons with whom it works and comes into contact with through its activities (including children and at-risk adults) safe from sexual exploitation, abuse, harassment and other forms of harm caused by the misuse of power. It includes actions for raising awareness as well as preventing, responding to and reporting on the harm caused by staff, non-staff personnel, contractors, consultants, and partner organisations and institutions.</w:t>
      </w:r>
    </w:p>
    <w:p w14:paraId="7ECCBE5A" w14:textId="277A1D41" w:rsidR="00D64B33" w:rsidRPr="005A1DD2" w:rsidRDefault="00D64B33" w:rsidP="004F4FBE">
      <w:pPr>
        <w:pStyle w:val="Heading2"/>
        <w:jc w:val="both"/>
        <w:rPr>
          <w:lang w:val="en-GB" w:eastAsia="en-GB"/>
        </w:rPr>
      </w:pPr>
      <w:r>
        <w:rPr>
          <w:lang w:val="en-GB" w:eastAsia="en-GB"/>
        </w:rPr>
        <w:t>Objectives</w:t>
      </w:r>
    </w:p>
    <w:p w14:paraId="4A4F7D21" w14:textId="2798906A" w:rsidR="00B86CB4" w:rsidRPr="005B2D91" w:rsidRDefault="00B86CB4" w:rsidP="004F4FBE">
      <w:pPr>
        <w:spacing w:line="240" w:lineRule="auto"/>
        <w:jc w:val="both"/>
        <w:rPr>
          <w:rFonts w:ascii="Arial" w:hAnsi="Arial" w:cs="Arial"/>
          <w:sz w:val="24"/>
          <w:szCs w:val="24"/>
        </w:rPr>
      </w:pPr>
      <w:r w:rsidRPr="005B2D91">
        <w:rPr>
          <w:rFonts w:ascii="Arial" w:hAnsi="Arial" w:cs="Arial"/>
          <w:sz w:val="24"/>
          <w:szCs w:val="24"/>
        </w:rPr>
        <w:t xml:space="preserve">The objectives of this </w:t>
      </w:r>
      <w:r w:rsidR="00D64B33">
        <w:rPr>
          <w:rFonts w:ascii="Arial" w:hAnsi="Arial" w:cs="Arial"/>
          <w:sz w:val="24"/>
          <w:szCs w:val="24"/>
        </w:rPr>
        <w:t>Safeguarding</w:t>
      </w:r>
      <w:r w:rsidR="006D6CD3">
        <w:rPr>
          <w:rFonts w:ascii="Arial" w:hAnsi="Arial" w:cs="Arial"/>
          <w:sz w:val="24"/>
          <w:szCs w:val="24"/>
        </w:rPr>
        <w:t>,</w:t>
      </w:r>
      <w:r w:rsidR="00D64B33">
        <w:rPr>
          <w:rFonts w:ascii="Arial" w:hAnsi="Arial" w:cs="Arial"/>
          <w:sz w:val="24"/>
          <w:szCs w:val="24"/>
        </w:rPr>
        <w:t xml:space="preserve"> G</w:t>
      </w:r>
      <w:r w:rsidR="000F4B37" w:rsidRPr="005B2D91">
        <w:rPr>
          <w:rFonts w:ascii="Arial" w:hAnsi="Arial" w:cs="Arial"/>
          <w:sz w:val="24"/>
          <w:szCs w:val="24"/>
        </w:rPr>
        <w:t xml:space="preserve">ender </w:t>
      </w:r>
      <w:r w:rsidR="006D6CD3">
        <w:rPr>
          <w:rFonts w:ascii="Arial" w:hAnsi="Arial" w:cs="Arial"/>
          <w:sz w:val="24"/>
          <w:szCs w:val="24"/>
        </w:rPr>
        <w:t xml:space="preserve">and Human Rights </w:t>
      </w:r>
      <w:r w:rsidRPr="005B2D91">
        <w:rPr>
          <w:rFonts w:ascii="Arial" w:hAnsi="Arial" w:cs="Arial"/>
          <w:sz w:val="24"/>
          <w:szCs w:val="24"/>
        </w:rPr>
        <w:t>policy are:</w:t>
      </w:r>
    </w:p>
    <w:p w14:paraId="66803F77" w14:textId="77777777" w:rsidR="00B86CB4" w:rsidRPr="005B2D91" w:rsidRDefault="00006586" w:rsidP="004F4FBE">
      <w:pPr>
        <w:pStyle w:val="ListParagraph"/>
        <w:numPr>
          <w:ilvl w:val="0"/>
          <w:numId w:val="12"/>
        </w:numPr>
        <w:spacing w:line="240" w:lineRule="auto"/>
        <w:jc w:val="both"/>
        <w:rPr>
          <w:rFonts w:ascii="Arial" w:hAnsi="Arial" w:cs="Arial"/>
          <w:sz w:val="24"/>
          <w:szCs w:val="24"/>
        </w:rPr>
      </w:pPr>
      <w:r w:rsidRPr="005B2D91">
        <w:rPr>
          <w:rFonts w:ascii="Arial" w:hAnsi="Arial" w:cs="Arial"/>
          <w:sz w:val="24"/>
          <w:szCs w:val="24"/>
        </w:rPr>
        <w:t xml:space="preserve">To espouse the cause of </w:t>
      </w:r>
      <w:r w:rsidR="00610FD0" w:rsidRPr="005B2D91">
        <w:rPr>
          <w:rFonts w:ascii="Arial" w:hAnsi="Arial" w:cs="Arial"/>
          <w:sz w:val="24"/>
          <w:szCs w:val="24"/>
        </w:rPr>
        <w:t>the</w:t>
      </w:r>
      <w:r w:rsidRPr="005B2D91">
        <w:rPr>
          <w:rFonts w:ascii="Arial" w:hAnsi="Arial" w:cs="Arial"/>
          <w:sz w:val="24"/>
          <w:szCs w:val="24"/>
        </w:rPr>
        <w:t xml:space="preserve"> right to </w:t>
      </w:r>
      <w:r w:rsidR="00610FD0" w:rsidRPr="005B2D91">
        <w:rPr>
          <w:rFonts w:ascii="Arial" w:hAnsi="Arial" w:cs="Arial"/>
          <w:sz w:val="24"/>
          <w:szCs w:val="24"/>
        </w:rPr>
        <w:t xml:space="preserve">gender </w:t>
      </w:r>
      <w:r w:rsidR="00334C4E" w:rsidRPr="005B2D91">
        <w:rPr>
          <w:rFonts w:ascii="Arial" w:hAnsi="Arial" w:cs="Arial"/>
          <w:sz w:val="24"/>
          <w:szCs w:val="24"/>
        </w:rPr>
        <w:t xml:space="preserve">equality </w:t>
      </w:r>
      <w:r w:rsidRPr="005B2D91">
        <w:rPr>
          <w:rFonts w:ascii="Arial" w:hAnsi="Arial" w:cs="Arial"/>
          <w:sz w:val="24"/>
          <w:szCs w:val="24"/>
        </w:rPr>
        <w:t>and right to dignified livelihood.</w:t>
      </w:r>
    </w:p>
    <w:p w14:paraId="610FA852" w14:textId="4D78030F" w:rsidR="00BB03A3" w:rsidRPr="005B2D91" w:rsidRDefault="00006586" w:rsidP="004F4FBE">
      <w:pPr>
        <w:pStyle w:val="ListParagraph"/>
        <w:numPr>
          <w:ilvl w:val="0"/>
          <w:numId w:val="12"/>
        </w:numPr>
        <w:spacing w:line="240" w:lineRule="auto"/>
        <w:jc w:val="both"/>
        <w:rPr>
          <w:rFonts w:ascii="Arial" w:hAnsi="Arial" w:cs="Arial"/>
          <w:sz w:val="24"/>
          <w:szCs w:val="24"/>
        </w:rPr>
      </w:pPr>
      <w:r w:rsidRPr="005B2D91">
        <w:rPr>
          <w:rFonts w:ascii="Arial" w:hAnsi="Arial" w:cs="Arial"/>
          <w:sz w:val="24"/>
          <w:szCs w:val="24"/>
        </w:rPr>
        <w:t xml:space="preserve">To foster a social, </w:t>
      </w:r>
      <w:r w:rsidR="00AA5811" w:rsidRPr="005B2D91">
        <w:rPr>
          <w:rFonts w:ascii="Arial" w:hAnsi="Arial" w:cs="Arial"/>
          <w:sz w:val="24"/>
          <w:szCs w:val="24"/>
        </w:rPr>
        <w:t>physical,</w:t>
      </w:r>
      <w:r w:rsidRPr="005B2D91">
        <w:rPr>
          <w:rFonts w:ascii="Arial" w:hAnsi="Arial" w:cs="Arial"/>
          <w:sz w:val="24"/>
          <w:szCs w:val="24"/>
        </w:rPr>
        <w:t xml:space="preserve"> and psychological environment that will enable </w:t>
      </w:r>
      <w:r w:rsidR="00610FD0" w:rsidRPr="005B2D91">
        <w:rPr>
          <w:rFonts w:ascii="Arial" w:hAnsi="Arial" w:cs="Arial"/>
          <w:sz w:val="24"/>
          <w:szCs w:val="24"/>
        </w:rPr>
        <w:t xml:space="preserve">employees </w:t>
      </w:r>
      <w:r w:rsidRPr="005B2D91">
        <w:rPr>
          <w:rFonts w:ascii="Arial" w:hAnsi="Arial" w:cs="Arial"/>
          <w:sz w:val="24"/>
          <w:szCs w:val="24"/>
        </w:rPr>
        <w:t>to work productively</w:t>
      </w:r>
      <w:r w:rsidR="00AC140C" w:rsidRPr="005B2D91">
        <w:rPr>
          <w:rFonts w:ascii="Arial" w:hAnsi="Arial" w:cs="Arial"/>
          <w:sz w:val="24"/>
          <w:szCs w:val="24"/>
        </w:rPr>
        <w:t>.</w:t>
      </w:r>
    </w:p>
    <w:p w14:paraId="30B947CD" w14:textId="1EF43072" w:rsidR="002B6F33" w:rsidRPr="005B2D91" w:rsidRDefault="002B6F33" w:rsidP="004F4FBE">
      <w:pPr>
        <w:pStyle w:val="ListParagraph"/>
        <w:numPr>
          <w:ilvl w:val="0"/>
          <w:numId w:val="12"/>
        </w:numPr>
        <w:spacing w:line="240" w:lineRule="auto"/>
        <w:jc w:val="both"/>
        <w:rPr>
          <w:rFonts w:ascii="Arial" w:hAnsi="Arial" w:cs="Arial"/>
          <w:sz w:val="24"/>
          <w:szCs w:val="24"/>
        </w:rPr>
      </w:pPr>
      <w:r w:rsidRPr="005B2D91">
        <w:rPr>
          <w:rFonts w:ascii="Arial" w:hAnsi="Arial" w:cs="Arial"/>
          <w:sz w:val="24"/>
          <w:szCs w:val="24"/>
        </w:rPr>
        <w:t xml:space="preserve">To strive for gender </w:t>
      </w:r>
      <w:r w:rsidR="00610FD0" w:rsidRPr="005B2D91">
        <w:rPr>
          <w:rFonts w:ascii="Arial" w:hAnsi="Arial" w:cs="Arial"/>
          <w:sz w:val="24"/>
          <w:szCs w:val="24"/>
        </w:rPr>
        <w:t xml:space="preserve">justice </w:t>
      </w:r>
      <w:r w:rsidRPr="005B2D91">
        <w:rPr>
          <w:rFonts w:ascii="Arial" w:hAnsi="Arial" w:cs="Arial"/>
          <w:sz w:val="24"/>
          <w:szCs w:val="24"/>
        </w:rPr>
        <w:t>at both institutional and programmatic level.</w:t>
      </w:r>
    </w:p>
    <w:p w14:paraId="4F046088" w14:textId="22088093" w:rsidR="00986877" w:rsidRPr="005B2D91" w:rsidRDefault="005B2D91" w:rsidP="004F4FBE">
      <w:pPr>
        <w:spacing w:line="240" w:lineRule="auto"/>
        <w:jc w:val="both"/>
        <w:rPr>
          <w:rFonts w:ascii="Arial" w:hAnsi="Arial" w:cs="Arial"/>
          <w:sz w:val="24"/>
          <w:szCs w:val="24"/>
        </w:rPr>
      </w:pPr>
      <w:r w:rsidRPr="005B2D91">
        <w:rPr>
          <w:rFonts w:ascii="Arial" w:hAnsi="Arial" w:cs="Arial"/>
          <w:sz w:val="24"/>
          <w:szCs w:val="24"/>
        </w:rPr>
        <w:lastRenderedPageBreak/>
        <w:t xml:space="preserve">Partners in Prosperity </w:t>
      </w:r>
      <w:r w:rsidR="00986877" w:rsidRPr="005B2D91">
        <w:rPr>
          <w:rFonts w:ascii="Arial" w:hAnsi="Arial" w:cs="Arial"/>
          <w:sz w:val="24"/>
          <w:szCs w:val="24"/>
        </w:rPr>
        <w:t xml:space="preserve">defines </w:t>
      </w:r>
      <w:r w:rsidR="006D6CD3">
        <w:rPr>
          <w:rFonts w:ascii="Arial" w:hAnsi="Arial" w:cs="Arial"/>
          <w:sz w:val="24"/>
          <w:szCs w:val="24"/>
        </w:rPr>
        <w:t xml:space="preserve">safeguarding, </w:t>
      </w:r>
      <w:r w:rsidR="00986877" w:rsidRPr="005B2D91">
        <w:rPr>
          <w:rFonts w:ascii="Arial" w:hAnsi="Arial" w:cs="Arial"/>
          <w:sz w:val="24"/>
          <w:szCs w:val="24"/>
        </w:rPr>
        <w:t>gender</w:t>
      </w:r>
      <w:r w:rsidR="006D6CD3">
        <w:rPr>
          <w:rFonts w:ascii="Arial" w:hAnsi="Arial" w:cs="Arial"/>
          <w:sz w:val="24"/>
          <w:szCs w:val="24"/>
        </w:rPr>
        <w:t>, and human rights</w:t>
      </w:r>
      <w:r w:rsidR="00986877" w:rsidRPr="005B2D91">
        <w:rPr>
          <w:rFonts w:ascii="Arial" w:hAnsi="Arial" w:cs="Arial"/>
          <w:sz w:val="24"/>
          <w:szCs w:val="24"/>
        </w:rPr>
        <w:t xml:space="preserve"> policy guidelines at two levels: Institutional and programmatic.  </w:t>
      </w:r>
    </w:p>
    <w:p w14:paraId="75F8322C" w14:textId="77777777" w:rsidR="00BB03A3" w:rsidRPr="005B2D91" w:rsidRDefault="00BB03A3" w:rsidP="004F4FBE">
      <w:pPr>
        <w:jc w:val="both"/>
        <w:rPr>
          <w:rFonts w:ascii="Arial" w:hAnsi="Arial" w:cs="Arial"/>
          <w:sz w:val="24"/>
          <w:szCs w:val="24"/>
        </w:rPr>
      </w:pPr>
      <w:r w:rsidRPr="005B2D91">
        <w:rPr>
          <w:rFonts w:ascii="Arial" w:hAnsi="Arial" w:cs="Arial"/>
          <w:sz w:val="24"/>
          <w:szCs w:val="24"/>
        </w:rPr>
        <w:t xml:space="preserve">1. </w:t>
      </w:r>
      <w:r w:rsidRPr="00163C97">
        <w:rPr>
          <w:rFonts w:ascii="Arial" w:hAnsi="Arial" w:cs="Arial"/>
          <w:b/>
          <w:bCs/>
          <w:sz w:val="24"/>
          <w:szCs w:val="24"/>
        </w:rPr>
        <w:t>Institutional Level</w:t>
      </w:r>
    </w:p>
    <w:p w14:paraId="4DA9A9FC" w14:textId="77777777" w:rsidR="006A09CA" w:rsidRPr="005B2D91" w:rsidRDefault="00BB03A3" w:rsidP="004F4FBE">
      <w:pPr>
        <w:pStyle w:val="ListParagraph"/>
        <w:numPr>
          <w:ilvl w:val="0"/>
          <w:numId w:val="13"/>
        </w:numPr>
        <w:spacing w:line="240" w:lineRule="auto"/>
        <w:jc w:val="both"/>
        <w:rPr>
          <w:rFonts w:ascii="Arial" w:hAnsi="Arial" w:cs="Arial"/>
          <w:sz w:val="24"/>
          <w:szCs w:val="24"/>
        </w:rPr>
      </w:pPr>
      <w:r w:rsidRPr="005B2D91">
        <w:rPr>
          <w:rFonts w:ascii="Arial" w:hAnsi="Arial" w:cs="Arial"/>
          <w:b/>
          <w:sz w:val="24"/>
          <w:szCs w:val="24"/>
        </w:rPr>
        <w:t>Staff Policies</w:t>
      </w:r>
      <w:r w:rsidRPr="005B2D91">
        <w:rPr>
          <w:rFonts w:ascii="Arial" w:hAnsi="Arial" w:cs="Arial"/>
          <w:sz w:val="24"/>
          <w:szCs w:val="24"/>
        </w:rPr>
        <w:t xml:space="preserve">:  </w:t>
      </w:r>
      <w:r w:rsidR="002B6F33" w:rsidRPr="005B2D91">
        <w:rPr>
          <w:rFonts w:ascii="Arial" w:hAnsi="Arial" w:cs="Arial"/>
          <w:sz w:val="24"/>
          <w:szCs w:val="24"/>
        </w:rPr>
        <w:t xml:space="preserve">All staff policies, rules and regulations shall be gender sensitive and will be reviewed periodically. </w:t>
      </w:r>
    </w:p>
    <w:p w14:paraId="00EB06E3" w14:textId="3CCB2FFD" w:rsidR="006A09CA" w:rsidRPr="005B2D91" w:rsidRDefault="00BB03A3" w:rsidP="004F4FBE">
      <w:pPr>
        <w:pStyle w:val="ListParagraph"/>
        <w:numPr>
          <w:ilvl w:val="0"/>
          <w:numId w:val="13"/>
        </w:numPr>
        <w:spacing w:line="240" w:lineRule="auto"/>
        <w:jc w:val="both"/>
        <w:rPr>
          <w:rFonts w:ascii="Arial" w:hAnsi="Arial" w:cs="Arial"/>
          <w:sz w:val="24"/>
          <w:szCs w:val="24"/>
        </w:rPr>
      </w:pPr>
      <w:r w:rsidRPr="005B2D91">
        <w:rPr>
          <w:rFonts w:ascii="Arial" w:hAnsi="Arial" w:cs="Arial"/>
          <w:b/>
          <w:sz w:val="24"/>
          <w:szCs w:val="24"/>
        </w:rPr>
        <w:t>Recruitment:</w:t>
      </w:r>
      <w:r w:rsidRPr="005B2D91">
        <w:rPr>
          <w:rFonts w:ascii="Arial" w:hAnsi="Arial" w:cs="Arial"/>
          <w:sz w:val="24"/>
          <w:szCs w:val="24"/>
        </w:rPr>
        <w:t xml:space="preserve"> </w:t>
      </w:r>
      <w:r w:rsidR="005F3B0F" w:rsidRPr="005B2D91">
        <w:rPr>
          <w:rFonts w:ascii="Arial" w:hAnsi="Arial" w:cs="Arial"/>
          <w:sz w:val="24"/>
          <w:szCs w:val="24"/>
        </w:rPr>
        <w:t xml:space="preserve"> </w:t>
      </w:r>
      <w:r w:rsidR="005B2D91" w:rsidRPr="005B2D91">
        <w:rPr>
          <w:rFonts w:ascii="Arial" w:hAnsi="Arial" w:cs="Arial"/>
          <w:sz w:val="24"/>
          <w:szCs w:val="24"/>
        </w:rPr>
        <w:t xml:space="preserve">Partners in Prosperity </w:t>
      </w:r>
      <w:r w:rsidR="00610FD0" w:rsidRPr="005B2D91">
        <w:rPr>
          <w:rFonts w:ascii="Arial" w:hAnsi="Arial" w:cs="Arial"/>
          <w:sz w:val="24"/>
          <w:szCs w:val="24"/>
        </w:rPr>
        <w:t xml:space="preserve">seeks gender balance in staffing. </w:t>
      </w:r>
      <w:r w:rsidRPr="005B2D91">
        <w:rPr>
          <w:rFonts w:ascii="Arial" w:hAnsi="Arial" w:cs="Arial"/>
          <w:sz w:val="24"/>
          <w:szCs w:val="24"/>
        </w:rPr>
        <w:t xml:space="preserve">Women candidates will be encouraged to apply </w:t>
      </w:r>
      <w:r w:rsidR="00F80FF4" w:rsidRPr="005B2D91">
        <w:rPr>
          <w:rFonts w:ascii="Arial" w:hAnsi="Arial" w:cs="Arial"/>
          <w:sz w:val="24"/>
          <w:szCs w:val="24"/>
        </w:rPr>
        <w:t xml:space="preserve">for all vacancies including </w:t>
      </w:r>
      <w:r w:rsidRPr="005B2D91">
        <w:rPr>
          <w:rFonts w:ascii="Arial" w:hAnsi="Arial" w:cs="Arial"/>
          <w:sz w:val="24"/>
          <w:szCs w:val="24"/>
        </w:rPr>
        <w:t>mana</w:t>
      </w:r>
      <w:r w:rsidR="000F4B37" w:rsidRPr="005B2D91">
        <w:rPr>
          <w:rFonts w:ascii="Arial" w:hAnsi="Arial" w:cs="Arial"/>
          <w:sz w:val="24"/>
          <w:szCs w:val="24"/>
        </w:rPr>
        <w:t xml:space="preserve">gement and leadership positions </w:t>
      </w:r>
      <w:r w:rsidRPr="005B2D91">
        <w:rPr>
          <w:rFonts w:ascii="Arial" w:hAnsi="Arial" w:cs="Arial"/>
          <w:sz w:val="24"/>
          <w:szCs w:val="24"/>
        </w:rPr>
        <w:t>both at the field and head office.</w:t>
      </w:r>
      <w:r w:rsidR="00253052" w:rsidRPr="005B2D91">
        <w:rPr>
          <w:rFonts w:ascii="Arial" w:hAnsi="Arial" w:cs="Arial"/>
          <w:sz w:val="24"/>
          <w:szCs w:val="24"/>
        </w:rPr>
        <w:t xml:space="preserve"> </w:t>
      </w:r>
      <w:r w:rsidR="000F4B37" w:rsidRPr="005B2D91">
        <w:rPr>
          <w:rFonts w:ascii="Arial" w:hAnsi="Arial" w:cs="Arial"/>
          <w:sz w:val="24"/>
          <w:szCs w:val="24"/>
        </w:rPr>
        <w:t xml:space="preserve">There will be </w:t>
      </w:r>
      <w:r w:rsidR="00335DDA" w:rsidRPr="005B2D91">
        <w:rPr>
          <w:rFonts w:ascii="Arial" w:hAnsi="Arial" w:cs="Arial"/>
          <w:sz w:val="24"/>
          <w:szCs w:val="24"/>
        </w:rPr>
        <w:t xml:space="preserve">adequate </w:t>
      </w:r>
      <w:r w:rsidRPr="005B2D91">
        <w:rPr>
          <w:rFonts w:ascii="Arial" w:hAnsi="Arial" w:cs="Arial"/>
          <w:sz w:val="24"/>
          <w:szCs w:val="24"/>
        </w:rPr>
        <w:t xml:space="preserve">representation of women in recruitment and interview panels. </w:t>
      </w:r>
    </w:p>
    <w:p w14:paraId="5373D9E0" w14:textId="77777777" w:rsidR="006A09CA" w:rsidRPr="005B2D91" w:rsidRDefault="005D7433" w:rsidP="004F4FBE">
      <w:pPr>
        <w:pStyle w:val="ListParagraph"/>
        <w:numPr>
          <w:ilvl w:val="0"/>
          <w:numId w:val="13"/>
        </w:numPr>
        <w:spacing w:line="240" w:lineRule="auto"/>
        <w:jc w:val="both"/>
        <w:rPr>
          <w:rFonts w:ascii="Arial" w:hAnsi="Arial" w:cs="Arial"/>
          <w:sz w:val="24"/>
          <w:szCs w:val="24"/>
        </w:rPr>
      </w:pPr>
      <w:r w:rsidRPr="005B2D91">
        <w:rPr>
          <w:rFonts w:ascii="Arial" w:hAnsi="Arial" w:cs="Arial"/>
          <w:b/>
          <w:sz w:val="24"/>
          <w:szCs w:val="24"/>
        </w:rPr>
        <w:t xml:space="preserve">Performance </w:t>
      </w:r>
      <w:r w:rsidR="006A09CA" w:rsidRPr="005B2D91">
        <w:rPr>
          <w:rFonts w:ascii="Arial" w:hAnsi="Arial" w:cs="Arial"/>
          <w:b/>
          <w:sz w:val="24"/>
          <w:szCs w:val="24"/>
        </w:rPr>
        <w:t>reviews</w:t>
      </w:r>
      <w:r w:rsidRPr="005B2D91">
        <w:rPr>
          <w:rFonts w:ascii="Arial" w:hAnsi="Arial" w:cs="Arial"/>
          <w:b/>
          <w:sz w:val="24"/>
          <w:szCs w:val="24"/>
        </w:rPr>
        <w:t>:</w:t>
      </w:r>
      <w:r w:rsidRPr="005B2D91">
        <w:rPr>
          <w:rFonts w:ascii="Arial" w:hAnsi="Arial" w:cs="Arial"/>
          <w:sz w:val="24"/>
          <w:szCs w:val="24"/>
        </w:rPr>
        <w:t xml:space="preserve"> Gender sensitivity will be one of the performance indicators for asse</w:t>
      </w:r>
      <w:r w:rsidR="000F4B37" w:rsidRPr="005B2D91">
        <w:rPr>
          <w:rFonts w:ascii="Arial" w:hAnsi="Arial" w:cs="Arial"/>
          <w:sz w:val="24"/>
          <w:szCs w:val="24"/>
        </w:rPr>
        <w:t>ssing</w:t>
      </w:r>
      <w:r w:rsidR="00253052" w:rsidRPr="005B2D91">
        <w:rPr>
          <w:rFonts w:ascii="Arial" w:hAnsi="Arial" w:cs="Arial"/>
          <w:sz w:val="24"/>
          <w:szCs w:val="24"/>
        </w:rPr>
        <w:t xml:space="preserve"> </w:t>
      </w:r>
      <w:r w:rsidR="000F4B37" w:rsidRPr="005B2D91">
        <w:rPr>
          <w:rFonts w:ascii="Arial" w:hAnsi="Arial" w:cs="Arial"/>
          <w:sz w:val="24"/>
          <w:szCs w:val="24"/>
        </w:rPr>
        <w:t>employees</w:t>
      </w:r>
      <w:r w:rsidRPr="005B2D91">
        <w:rPr>
          <w:rFonts w:ascii="Arial" w:hAnsi="Arial" w:cs="Arial"/>
          <w:sz w:val="24"/>
          <w:szCs w:val="24"/>
        </w:rPr>
        <w:t xml:space="preserve">.  </w:t>
      </w:r>
    </w:p>
    <w:p w14:paraId="1E7A550C" w14:textId="77777777" w:rsidR="006A09CA" w:rsidRPr="005B2D91" w:rsidRDefault="006A09CA" w:rsidP="004F4FBE">
      <w:pPr>
        <w:pStyle w:val="ListParagraph"/>
        <w:numPr>
          <w:ilvl w:val="0"/>
          <w:numId w:val="13"/>
        </w:numPr>
        <w:spacing w:line="240" w:lineRule="auto"/>
        <w:jc w:val="both"/>
        <w:rPr>
          <w:rFonts w:ascii="Arial" w:hAnsi="Arial" w:cs="Arial"/>
          <w:sz w:val="24"/>
          <w:szCs w:val="24"/>
        </w:rPr>
      </w:pPr>
      <w:r w:rsidRPr="005B2D91">
        <w:rPr>
          <w:rFonts w:ascii="Arial" w:hAnsi="Arial" w:cs="Arial"/>
          <w:b/>
          <w:sz w:val="24"/>
          <w:szCs w:val="24"/>
        </w:rPr>
        <w:t>Capacity building for gender sensitization</w:t>
      </w:r>
      <w:r w:rsidRPr="005B2D91">
        <w:rPr>
          <w:rFonts w:ascii="Arial" w:hAnsi="Arial" w:cs="Arial"/>
          <w:sz w:val="24"/>
          <w:szCs w:val="24"/>
        </w:rPr>
        <w:t xml:space="preserve">: </w:t>
      </w:r>
      <w:r w:rsidR="00AC140C" w:rsidRPr="005B2D91">
        <w:rPr>
          <w:rFonts w:ascii="Arial" w:hAnsi="Arial" w:cs="Arial"/>
          <w:sz w:val="24"/>
          <w:szCs w:val="24"/>
        </w:rPr>
        <w:t>We</w:t>
      </w:r>
      <w:r w:rsidRPr="005B2D91">
        <w:rPr>
          <w:rFonts w:ascii="Arial" w:hAnsi="Arial" w:cs="Arial"/>
          <w:sz w:val="24"/>
          <w:szCs w:val="24"/>
        </w:rPr>
        <w:t xml:space="preserve"> will organize workshops, training programs and discussions for promoting and enabling a gender sensitive work culture. Also, regular trainings will be conducted on </w:t>
      </w:r>
      <w:r w:rsidR="00610FD0" w:rsidRPr="005B2D91">
        <w:rPr>
          <w:rFonts w:ascii="Arial" w:hAnsi="Arial" w:cs="Arial"/>
          <w:sz w:val="24"/>
          <w:szCs w:val="24"/>
        </w:rPr>
        <w:t xml:space="preserve">awareness and </w:t>
      </w:r>
      <w:r w:rsidRPr="005B2D91">
        <w:rPr>
          <w:rFonts w:ascii="Arial" w:hAnsi="Arial" w:cs="Arial"/>
          <w:sz w:val="24"/>
          <w:szCs w:val="24"/>
        </w:rPr>
        <w:t>confidence building</w:t>
      </w:r>
      <w:r w:rsidR="00610FD0" w:rsidRPr="005B2D91">
        <w:rPr>
          <w:rFonts w:ascii="Arial" w:hAnsi="Arial" w:cs="Arial"/>
          <w:sz w:val="24"/>
          <w:szCs w:val="24"/>
        </w:rPr>
        <w:t xml:space="preserve"> of field staff, with special focus on women </w:t>
      </w:r>
      <w:r w:rsidRPr="005B2D91">
        <w:rPr>
          <w:rFonts w:ascii="Arial" w:hAnsi="Arial" w:cs="Arial"/>
          <w:sz w:val="24"/>
          <w:szCs w:val="24"/>
        </w:rPr>
        <w:t xml:space="preserve">staff. </w:t>
      </w:r>
    </w:p>
    <w:p w14:paraId="561D772A" w14:textId="77777777" w:rsidR="006A09CA" w:rsidRPr="005B2D91" w:rsidRDefault="006A09CA" w:rsidP="004F4FBE">
      <w:pPr>
        <w:pStyle w:val="ListParagraph"/>
        <w:numPr>
          <w:ilvl w:val="0"/>
          <w:numId w:val="13"/>
        </w:numPr>
        <w:spacing w:line="240" w:lineRule="auto"/>
        <w:jc w:val="both"/>
        <w:rPr>
          <w:rFonts w:ascii="Arial" w:hAnsi="Arial" w:cs="Arial"/>
          <w:sz w:val="24"/>
          <w:szCs w:val="24"/>
        </w:rPr>
      </w:pPr>
      <w:r w:rsidRPr="005B2D91">
        <w:rPr>
          <w:rFonts w:ascii="Arial" w:hAnsi="Arial" w:cs="Arial"/>
          <w:b/>
          <w:sz w:val="24"/>
          <w:szCs w:val="24"/>
        </w:rPr>
        <w:t>Harassment</w:t>
      </w:r>
      <w:r w:rsidRPr="005B2D91">
        <w:rPr>
          <w:rFonts w:ascii="Arial" w:hAnsi="Arial" w:cs="Arial"/>
          <w:sz w:val="24"/>
          <w:szCs w:val="24"/>
        </w:rPr>
        <w:t>:</w:t>
      </w:r>
      <w:r w:rsidR="000F4B37" w:rsidRPr="005B2D91">
        <w:rPr>
          <w:rFonts w:ascii="Arial" w:hAnsi="Arial" w:cs="Arial"/>
          <w:sz w:val="24"/>
          <w:szCs w:val="24"/>
        </w:rPr>
        <w:t xml:space="preserve"> </w:t>
      </w:r>
      <w:r w:rsidR="00AC140C" w:rsidRPr="005B2D91">
        <w:rPr>
          <w:rFonts w:ascii="Arial" w:hAnsi="Arial" w:cs="Arial"/>
          <w:sz w:val="24"/>
          <w:szCs w:val="24"/>
        </w:rPr>
        <w:t>Our</w:t>
      </w:r>
      <w:r w:rsidR="00610FD0" w:rsidRPr="005B2D91">
        <w:rPr>
          <w:rFonts w:ascii="Arial" w:hAnsi="Arial" w:cs="Arial"/>
          <w:sz w:val="24"/>
          <w:szCs w:val="24"/>
        </w:rPr>
        <w:t xml:space="preserve"> Anti Sexual Harassment policy is gender neutral</w:t>
      </w:r>
      <w:r w:rsidR="00912472" w:rsidRPr="005B2D91">
        <w:rPr>
          <w:rFonts w:ascii="Arial" w:hAnsi="Arial" w:cs="Arial"/>
          <w:sz w:val="24"/>
          <w:szCs w:val="24"/>
        </w:rPr>
        <w:t xml:space="preserve"> and is in</w:t>
      </w:r>
      <w:r w:rsidR="00EE70E5" w:rsidRPr="005B2D91">
        <w:rPr>
          <w:rFonts w:ascii="Arial" w:hAnsi="Arial" w:cs="Arial"/>
          <w:sz w:val="24"/>
          <w:szCs w:val="24"/>
        </w:rPr>
        <w:t xml:space="preserve"> </w:t>
      </w:r>
      <w:r w:rsidR="00912472" w:rsidRPr="005B2D91">
        <w:rPr>
          <w:rFonts w:ascii="Arial" w:hAnsi="Arial" w:cs="Arial"/>
          <w:sz w:val="24"/>
          <w:szCs w:val="24"/>
        </w:rPr>
        <w:t>compliance with the Sexual Harassment of Women at Workplace (Prevention, Prohibition and Redressal) Act 2013.</w:t>
      </w:r>
    </w:p>
    <w:p w14:paraId="43715CE0" w14:textId="77777777" w:rsidR="00986877" w:rsidRPr="00163C97" w:rsidRDefault="00986877" w:rsidP="004F4FBE">
      <w:pPr>
        <w:jc w:val="both"/>
        <w:rPr>
          <w:rFonts w:ascii="Arial" w:hAnsi="Arial" w:cs="Arial"/>
          <w:b/>
          <w:bCs/>
          <w:sz w:val="24"/>
          <w:szCs w:val="24"/>
        </w:rPr>
      </w:pPr>
      <w:r w:rsidRPr="00163C97">
        <w:rPr>
          <w:rFonts w:ascii="Arial" w:hAnsi="Arial" w:cs="Arial"/>
          <w:b/>
          <w:bCs/>
          <w:sz w:val="24"/>
          <w:szCs w:val="24"/>
        </w:rPr>
        <w:t>2. Programmatic Level</w:t>
      </w:r>
    </w:p>
    <w:p w14:paraId="6F04D650" w14:textId="77777777" w:rsidR="004D5788" w:rsidRPr="005B2D91" w:rsidRDefault="00986877" w:rsidP="004F4FBE">
      <w:pPr>
        <w:pStyle w:val="ListParagraph"/>
        <w:numPr>
          <w:ilvl w:val="0"/>
          <w:numId w:val="15"/>
        </w:numPr>
        <w:spacing w:line="240" w:lineRule="auto"/>
        <w:jc w:val="both"/>
        <w:rPr>
          <w:rFonts w:ascii="Arial" w:hAnsi="Arial" w:cs="Arial"/>
          <w:sz w:val="24"/>
          <w:szCs w:val="24"/>
        </w:rPr>
      </w:pPr>
      <w:r w:rsidRPr="005B2D91">
        <w:rPr>
          <w:rFonts w:ascii="Arial" w:hAnsi="Arial" w:cs="Arial"/>
          <w:sz w:val="24"/>
          <w:szCs w:val="24"/>
        </w:rPr>
        <w:t xml:space="preserve">Building skills and capacities </w:t>
      </w:r>
      <w:r w:rsidR="00E54F97" w:rsidRPr="005B2D91">
        <w:rPr>
          <w:rFonts w:ascii="Arial" w:hAnsi="Arial" w:cs="Arial"/>
          <w:sz w:val="24"/>
          <w:szCs w:val="24"/>
        </w:rPr>
        <w:t>on gender perspectives to enable greater participation of al</w:t>
      </w:r>
      <w:r w:rsidR="00897FB2" w:rsidRPr="005B2D91">
        <w:rPr>
          <w:rFonts w:ascii="Arial" w:hAnsi="Arial" w:cs="Arial"/>
          <w:sz w:val="24"/>
          <w:szCs w:val="24"/>
        </w:rPr>
        <w:t xml:space="preserve">l sections of community in </w:t>
      </w:r>
      <w:r w:rsidR="00AC140C" w:rsidRPr="005B2D91">
        <w:rPr>
          <w:rFonts w:ascii="Arial" w:hAnsi="Arial" w:cs="Arial"/>
          <w:sz w:val="24"/>
          <w:szCs w:val="24"/>
        </w:rPr>
        <w:t xml:space="preserve">our </w:t>
      </w:r>
      <w:r w:rsidR="00897FB2" w:rsidRPr="005B2D91">
        <w:rPr>
          <w:rFonts w:ascii="Arial" w:hAnsi="Arial" w:cs="Arial"/>
          <w:sz w:val="24"/>
          <w:szCs w:val="24"/>
        </w:rPr>
        <w:t xml:space="preserve">programs </w:t>
      </w:r>
      <w:r w:rsidRPr="005B2D91">
        <w:rPr>
          <w:rFonts w:ascii="Arial" w:hAnsi="Arial" w:cs="Arial"/>
          <w:sz w:val="24"/>
          <w:szCs w:val="24"/>
        </w:rPr>
        <w:t xml:space="preserve">will be one of </w:t>
      </w:r>
      <w:r w:rsidR="00AC140C" w:rsidRPr="005B2D91">
        <w:rPr>
          <w:rFonts w:ascii="Arial" w:hAnsi="Arial" w:cs="Arial"/>
          <w:sz w:val="24"/>
          <w:szCs w:val="24"/>
        </w:rPr>
        <w:t>our</w:t>
      </w:r>
      <w:r w:rsidRPr="005B2D91">
        <w:rPr>
          <w:rFonts w:ascii="Arial" w:hAnsi="Arial" w:cs="Arial"/>
          <w:sz w:val="24"/>
          <w:szCs w:val="24"/>
        </w:rPr>
        <w:t xml:space="preserve"> objectives </w:t>
      </w:r>
      <w:r w:rsidR="00AC140C" w:rsidRPr="005B2D91">
        <w:rPr>
          <w:rFonts w:ascii="Arial" w:hAnsi="Arial" w:cs="Arial"/>
          <w:sz w:val="24"/>
          <w:szCs w:val="24"/>
        </w:rPr>
        <w:t>in</w:t>
      </w:r>
      <w:r w:rsidRPr="005B2D91">
        <w:rPr>
          <w:rFonts w:ascii="Arial" w:hAnsi="Arial" w:cs="Arial"/>
          <w:sz w:val="24"/>
          <w:szCs w:val="24"/>
        </w:rPr>
        <w:t xml:space="preserve"> all programs</w:t>
      </w:r>
      <w:r w:rsidR="00917656" w:rsidRPr="005B2D91">
        <w:rPr>
          <w:rFonts w:ascii="Arial" w:hAnsi="Arial" w:cs="Arial"/>
          <w:sz w:val="24"/>
          <w:szCs w:val="24"/>
        </w:rPr>
        <w:t>.</w:t>
      </w:r>
    </w:p>
    <w:p w14:paraId="279EAC35" w14:textId="77777777" w:rsidR="00E54F97" w:rsidRPr="005B2D91" w:rsidRDefault="00F06A15" w:rsidP="004F4FBE">
      <w:pPr>
        <w:pStyle w:val="ListParagraph"/>
        <w:numPr>
          <w:ilvl w:val="0"/>
          <w:numId w:val="15"/>
        </w:numPr>
        <w:spacing w:line="240" w:lineRule="auto"/>
        <w:jc w:val="both"/>
        <w:rPr>
          <w:rFonts w:ascii="Arial" w:hAnsi="Arial" w:cs="Arial"/>
          <w:sz w:val="24"/>
          <w:szCs w:val="24"/>
        </w:rPr>
      </w:pPr>
      <w:r w:rsidRPr="005B2D91">
        <w:rPr>
          <w:rFonts w:ascii="Arial" w:hAnsi="Arial" w:cs="Arial"/>
          <w:sz w:val="24"/>
          <w:szCs w:val="24"/>
        </w:rPr>
        <w:t xml:space="preserve">All programs will </w:t>
      </w:r>
      <w:r w:rsidR="00335DDA" w:rsidRPr="005B2D91">
        <w:rPr>
          <w:rFonts w:ascii="Arial" w:hAnsi="Arial" w:cs="Arial"/>
          <w:sz w:val="24"/>
          <w:szCs w:val="24"/>
        </w:rPr>
        <w:t>promote</w:t>
      </w:r>
      <w:r w:rsidRPr="005B2D91">
        <w:rPr>
          <w:rFonts w:ascii="Arial" w:hAnsi="Arial" w:cs="Arial"/>
          <w:sz w:val="24"/>
          <w:szCs w:val="24"/>
        </w:rPr>
        <w:t xml:space="preserve"> </w:t>
      </w:r>
      <w:r w:rsidR="00E54F97" w:rsidRPr="005B2D91">
        <w:rPr>
          <w:rFonts w:ascii="Arial" w:hAnsi="Arial" w:cs="Arial"/>
          <w:sz w:val="24"/>
          <w:szCs w:val="24"/>
        </w:rPr>
        <w:t xml:space="preserve">equal </w:t>
      </w:r>
      <w:r w:rsidRPr="005B2D91">
        <w:rPr>
          <w:rFonts w:ascii="Arial" w:hAnsi="Arial" w:cs="Arial"/>
          <w:sz w:val="24"/>
          <w:szCs w:val="24"/>
        </w:rPr>
        <w:t xml:space="preserve">participation of </w:t>
      </w:r>
      <w:r w:rsidR="00E54F97" w:rsidRPr="005B2D91">
        <w:rPr>
          <w:rFonts w:ascii="Arial" w:hAnsi="Arial" w:cs="Arial"/>
          <w:sz w:val="24"/>
          <w:szCs w:val="24"/>
        </w:rPr>
        <w:t>all stakeholders.</w:t>
      </w:r>
      <w:r w:rsidR="00912472" w:rsidRPr="005B2D91">
        <w:rPr>
          <w:rFonts w:ascii="Arial" w:hAnsi="Arial" w:cs="Arial"/>
          <w:sz w:val="24"/>
          <w:szCs w:val="24"/>
        </w:rPr>
        <w:t xml:space="preserve"> </w:t>
      </w:r>
      <w:r w:rsidR="00E54F97" w:rsidRPr="005B2D91">
        <w:rPr>
          <w:rFonts w:ascii="Arial" w:hAnsi="Arial" w:cs="Arial"/>
          <w:sz w:val="24"/>
          <w:szCs w:val="24"/>
        </w:rPr>
        <w:t xml:space="preserve"> </w:t>
      </w:r>
      <w:r w:rsidR="00223509" w:rsidRPr="005B2D91">
        <w:rPr>
          <w:rFonts w:ascii="Arial" w:hAnsi="Arial" w:cs="Arial"/>
          <w:sz w:val="24"/>
          <w:szCs w:val="24"/>
        </w:rPr>
        <w:t>To</w:t>
      </w:r>
      <w:r w:rsidR="00E54F97" w:rsidRPr="005B2D91">
        <w:rPr>
          <w:rFonts w:ascii="Arial" w:hAnsi="Arial" w:cs="Arial"/>
          <w:sz w:val="24"/>
          <w:szCs w:val="24"/>
        </w:rPr>
        <w:t xml:space="preserve"> </w:t>
      </w:r>
      <w:r w:rsidR="00223509" w:rsidRPr="005B2D91">
        <w:rPr>
          <w:rFonts w:ascii="Arial" w:hAnsi="Arial" w:cs="Arial"/>
          <w:sz w:val="24"/>
          <w:szCs w:val="24"/>
        </w:rPr>
        <w:t>promote</w:t>
      </w:r>
      <w:r w:rsidR="00A44123" w:rsidRPr="005B2D91">
        <w:rPr>
          <w:rFonts w:ascii="Arial" w:hAnsi="Arial" w:cs="Arial"/>
          <w:sz w:val="24"/>
          <w:szCs w:val="24"/>
        </w:rPr>
        <w:t xml:space="preserve"> </w:t>
      </w:r>
      <w:r w:rsidR="00223509" w:rsidRPr="005B2D91">
        <w:rPr>
          <w:rFonts w:ascii="Arial" w:hAnsi="Arial" w:cs="Arial"/>
          <w:sz w:val="24"/>
          <w:szCs w:val="24"/>
        </w:rPr>
        <w:t xml:space="preserve">and assess </w:t>
      </w:r>
      <w:r w:rsidR="00A44123" w:rsidRPr="005B2D91">
        <w:rPr>
          <w:rFonts w:ascii="Arial" w:hAnsi="Arial" w:cs="Arial"/>
          <w:sz w:val="24"/>
          <w:szCs w:val="24"/>
        </w:rPr>
        <w:t>inclusion of gender equality in</w:t>
      </w:r>
      <w:r w:rsidR="00E54F97" w:rsidRPr="005B2D91">
        <w:rPr>
          <w:rFonts w:ascii="Arial" w:hAnsi="Arial" w:cs="Arial"/>
          <w:sz w:val="24"/>
          <w:szCs w:val="24"/>
        </w:rPr>
        <w:t xml:space="preserve"> each project, </w:t>
      </w:r>
      <w:r w:rsidR="00223509" w:rsidRPr="005B2D91">
        <w:rPr>
          <w:rFonts w:ascii="Arial" w:hAnsi="Arial" w:cs="Arial"/>
          <w:sz w:val="24"/>
          <w:szCs w:val="24"/>
        </w:rPr>
        <w:t xml:space="preserve">managers will prepare and use </w:t>
      </w:r>
      <w:r w:rsidR="00E54F97" w:rsidRPr="005B2D91">
        <w:rPr>
          <w:rFonts w:ascii="Arial" w:hAnsi="Arial" w:cs="Arial"/>
          <w:sz w:val="24"/>
          <w:szCs w:val="24"/>
        </w:rPr>
        <w:t>a gender equality checklist.</w:t>
      </w:r>
    </w:p>
    <w:p w14:paraId="0D412B86" w14:textId="52592188" w:rsidR="00407E36" w:rsidRPr="00163C97" w:rsidRDefault="00C73E52" w:rsidP="004F4FBE">
      <w:pPr>
        <w:spacing w:line="240" w:lineRule="auto"/>
        <w:jc w:val="both"/>
        <w:rPr>
          <w:rFonts w:ascii="Arial" w:hAnsi="Arial" w:cs="Arial"/>
          <w:bCs/>
          <w:sz w:val="24"/>
          <w:szCs w:val="24"/>
        </w:rPr>
      </w:pPr>
      <w:r w:rsidRPr="00163C97">
        <w:rPr>
          <w:rFonts w:ascii="Arial" w:hAnsi="Arial" w:cs="Arial"/>
          <w:bCs/>
          <w:sz w:val="24"/>
          <w:szCs w:val="24"/>
        </w:rPr>
        <w:t>Com</w:t>
      </w:r>
      <w:r w:rsidR="00407E36" w:rsidRPr="00163C97">
        <w:rPr>
          <w:rFonts w:ascii="Arial" w:hAnsi="Arial" w:cs="Arial"/>
          <w:bCs/>
          <w:sz w:val="24"/>
          <w:szCs w:val="24"/>
        </w:rPr>
        <w:t xml:space="preserve">mittee on </w:t>
      </w:r>
      <w:r w:rsidR="00D64B33" w:rsidRPr="00163C97">
        <w:rPr>
          <w:rFonts w:ascii="Arial" w:hAnsi="Arial" w:cs="Arial"/>
          <w:bCs/>
          <w:sz w:val="24"/>
          <w:szCs w:val="24"/>
        </w:rPr>
        <w:t>Sexual Harassment</w:t>
      </w:r>
    </w:p>
    <w:p w14:paraId="182F64FC" w14:textId="7F2C3A6B" w:rsidR="00986877" w:rsidRPr="005B2D91" w:rsidRDefault="00407E36" w:rsidP="004F4FBE">
      <w:pPr>
        <w:spacing w:line="240" w:lineRule="auto"/>
        <w:jc w:val="both"/>
        <w:rPr>
          <w:rFonts w:ascii="Arial" w:hAnsi="Arial" w:cs="Arial"/>
          <w:sz w:val="24"/>
          <w:szCs w:val="24"/>
        </w:rPr>
      </w:pPr>
      <w:r w:rsidRPr="005B2D91">
        <w:rPr>
          <w:rFonts w:ascii="Arial" w:hAnsi="Arial" w:cs="Arial"/>
          <w:sz w:val="24"/>
          <w:szCs w:val="24"/>
        </w:rPr>
        <w:t xml:space="preserve">Composition of </w:t>
      </w:r>
      <w:r w:rsidR="00AC140C" w:rsidRPr="005B2D91">
        <w:rPr>
          <w:rFonts w:ascii="Arial" w:hAnsi="Arial" w:cs="Arial"/>
          <w:sz w:val="24"/>
          <w:szCs w:val="24"/>
        </w:rPr>
        <w:t>our</w:t>
      </w:r>
      <w:r w:rsidRPr="005B2D91">
        <w:rPr>
          <w:rFonts w:ascii="Arial" w:hAnsi="Arial" w:cs="Arial"/>
          <w:sz w:val="24"/>
          <w:szCs w:val="24"/>
        </w:rPr>
        <w:t xml:space="preserve"> committe</w:t>
      </w:r>
      <w:r w:rsidR="006C33B4" w:rsidRPr="005B2D91">
        <w:rPr>
          <w:rFonts w:ascii="Arial" w:hAnsi="Arial" w:cs="Arial"/>
          <w:sz w:val="24"/>
          <w:szCs w:val="24"/>
        </w:rPr>
        <w:t xml:space="preserve">e on gender sensitization </w:t>
      </w:r>
      <w:r w:rsidRPr="005B2D91">
        <w:rPr>
          <w:rFonts w:ascii="Arial" w:hAnsi="Arial" w:cs="Arial"/>
          <w:sz w:val="24"/>
          <w:szCs w:val="24"/>
        </w:rPr>
        <w:t xml:space="preserve">to address gender issues and concerns </w:t>
      </w:r>
      <w:r w:rsidR="00223509" w:rsidRPr="005B2D91">
        <w:rPr>
          <w:rFonts w:ascii="Arial" w:hAnsi="Arial" w:cs="Arial"/>
          <w:sz w:val="24"/>
          <w:szCs w:val="24"/>
        </w:rPr>
        <w:t>is</w:t>
      </w:r>
      <w:r w:rsidRPr="005B2D91">
        <w:rPr>
          <w:rFonts w:ascii="Arial" w:hAnsi="Arial" w:cs="Arial"/>
          <w:sz w:val="24"/>
          <w:szCs w:val="24"/>
        </w:rPr>
        <w:t xml:space="preserve"> in accordance with committee provisions of the Sexual Harassment of Women at Workplace (Prevention, Prohibition and Redressal) Act 2013. </w:t>
      </w:r>
    </w:p>
    <w:p w14:paraId="6D41DEF3" w14:textId="77777777" w:rsidR="00483187" w:rsidRPr="00873B86" w:rsidRDefault="00483187" w:rsidP="004F4FBE">
      <w:pPr>
        <w:pStyle w:val="Heading2"/>
        <w:jc w:val="both"/>
      </w:pPr>
      <w:r w:rsidRPr="00873B86">
        <w:t>Applicability</w:t>
      </w:r>
    </w:p>
    <w:p w14:paraId="13131474" w14:textId="5756BD14" w:rsidR="00F83ED8" w:rsidRPr="005B2D91" w:rsidRDefault="00483187" w:rsidP="004F4FBE">
      <w:pPr>
        <w:spacing w:line="240" w:lineRule="auto"/>
        <w:jc w:val="both"/>
        <w:rPr>
          <w:rFonts w:ascii="Arial" w:hAnsi="Arial" w:cs="Arial"/>
          <w:sz w:val="24"/>
          <w:szCs w:val="24"/>
        </w:rPr>
      </w:pPr>
      <w:r w:rsidRPr="005B2D91">
        <w:rPr>
          <w:rFonts w:ascii="Arial" w:hAnsi="Arial" w:cs="Arial"/>
          <w:sz w:val="24"/>
          <w:szCs w:val="24"/>
        </w:rPr>
        <w:t xml:space="preserve">This policy </w:t>
      </w:r>
      <w:r w:rsidR="000F4B37" w:rsidRPr="005B2D91">
        <w:rPr>
          <w:rFonts w:ascii="Arial" w:hAnsi="Arial" w:cs="Arial"/>
          <w:sz w:val="24"/>
          <w:szCs w:val="24"/>
        </w:rPr>
        <w:t xml:space="preserve">applies to </w:t>
      </w:r>
      <w:r w:rsidRPr="005B2D91">
        <w:rPr>
          <w:rFonts w:ascii="Arial" w:hAnsi="Arial" w:cs="Arial"/>
          <w:sz w:val="24"/>
          <w:szCs w:val="24"/>
        </w:rPr>
        <w:t>all regular</w:t>
      </w:r>
      <w:r w:rsidR="000F4B37" w:rsidRPr="005B2D91">
        <w:rPr>
          <w:rFonts w:ascii="Arial" w:hAnsi="Arial" w:cs="Arial"/>
          <w:sz w:val="24"/>
          <w:szCs w:val="24"/>
        </w:rPr>
        <w:t xml:space="preserve"> and contractual staff of </w:t>
      </w:r>
      <w:r w:rsidR="005B2D91" w:rsidRPr="005B2D91">
        <w:rPr>
          <w:rFonts w:ascii="Arial" w:hAnsi="Arial" w:cs="Arial"/>
          <w:sz w:val="24"/>
          <w:szCs w:val="24"/>
        </w:rPr>
        <w:t>Partners in Prosperity</w:t>
      </w:r>
      <w:r w:rsidR="002C5EE9" w:rsidRPr="005B2D91">
        <w:rPr>
          <w:rFonts w:ascii="Arial" w:hAnsi="Arial" w:cs="Arial"/>
          <w:sz w:val="24"/>
          <w:szCs w:val="24"/>
        </w:rPr>
        <w:t>. I</w:t>
      </w:r>
      <w:r w:rsidRPr="005B2D91">
        <w:rPr>
          <w:rFonts w:ascii="Arial" w:hAnsi="Arial" w:cs="Arial"/>
          <w:sz w:val="24"/>
          <w:szCs w:val="24"/>
        </w:rPr>
        <w:t xml:space="preserve">n case of </w:t>
      </w:r>
      <w:r w:rsidR="002C5EE9" w:rsidRPr="005B2D91">
        <w:rPr>
          <w:rFonts w:ascii="Arial" w:hAnsi="Arial" w:cs="Arial"/>
          <w:sz w:val="24"/>
          <w:szCs w:val="24"/>
        </w:rPr>
        <w:t xml:space="preserve">a </w:t>
      </w:r>
      <w:r w:rsidRPr="005B2D91">
        <w:rPr>
          <w:rFonts w:ascii="Arial" w:hAnsi="Arial" w:cs="Arial"/>
          <w:sz w:val="24"/>
          <w:szCs w:val="24"/>
        </w:rPr>
        <w:t xml:space="preserve">complaint </w:t>
      </w:r>
      <w:r w:rsidR="00AA5811" w:rsidRPr="005B2D91">
        <w:rPr>
          <w:rFonts w:ascii="Arial" w:hAnsi="Arial" w:cs="Arial"/>
          <w:sz w:val="24"/>
          <w:szCs w:val="24"/>
        </w:rPr>
        <w:t>because of</w:t>
      </w:r>
      <w:r w:rsidRPr="005B2D91">
        <w:rPr>
          <w:rFonts w:ascii="Arial" w:hAnsi="Arial" w:cs="Arial"/>
          <w:sz w:val="24"/>
          <w:szCs w:val="24"/>
        </w:rPr>
        <w:t xml:space="preserve"> an act by a third party, </w:t>
      </w:r>
      <w:r w:rsidR="00AC140C" w:rsidRPr="005B2D91">
        <w:rPr>
          <w:rFonts w:ascii="Arial" w:hAnsi="Arial" w:cs="Arial"/>
          <w:sz w:val="24"/>
          <w:szCs w:val="24"/>
        </w:rPr>
        <w:t>management</w:t>
      </w:r>
      <w:r w:rsidRPr="005B2D91">
        <w:rPr>
          <w:rFonts w:ascii="Arial" w:hAnsi="Arial" w:cs="Arial"/>
          <w:sz w:val="24"/>
          <w:szCs w:val="24"/>
        </w:rPr>
        <w:t xml:space="preserve"> will take the necessary preventive and reasonable action to support and assist the affected party. </w:t>
      </w:r>
    </w:p>
    <w:p w14:paraId="5E046980" w14:textId="77777777" w:rsidR="00345FC3" w:rsidRPr="00873B86" w:rsidRDefault="00345FC3" w:rsidP="004F4FBE">
      <w:pPr>
        <w:pStyle w:val="Heading2"/>
        <w:jc w:val="both"/>
      </w:pPr>
      <w:r w:rsidRPr="00873B86">
        <w:t>Reporting</w:t>
      </w:r>
    </w:p>
    <w:p w14:paraId="6A5038A7" w14:textId="77777777" w:rsidR="00345FC3" w:rsidRPr="005B2D91" w:rsidRDefault="00345FC3" w:rsidP="004F4FBE">
      <w:pPr>
        <w:contextualSpacing/>
        <w:jc w:val="both"/>
        <w:rPr>
          <w:rFonts w:ascii="Arial" w:hAnsi="Arial" w:cs="Arial"/>
          <w:sz w:val="24"/>
          <w:szCs w:val="24"/>
        </w:rPr>
      </w:pPr>
    </w:p>
    <w:p w14:paraId="1EF096FE" w14:textId="77777777" w:rsidR="00E91768" w:rsidRDefault="00345FC3" w:rsidP="004F4FBE">
      <w:pPr>
        <w:spacing w:line="240" w:lineRule="auto"/>
        <w:contextualSpacing/>
        <w:jc w:val="both"/>
        <w:rPr>
          <w:rFonts w:ascii="Arial" w:hAnsi="Arial" w:cs="Arial"/>
          <w:sz w:val="24"/>
          <w:szCs w:val="24"/>
        </w:rPr>
      </w:pPr>
      <w:r w:rsidRPr="005B2D91">
        <w:rPr>
          <w:rFonts w:ascii="Arial" w:hAnsi="Arial" w:cs="Arial"/>
          <w:sz w:val="24"/>
          <w:szCs w:val="24"/>
        </w:rPr>
        <w:t xml:space="preserve">Management will report annually to the </w:t>
      </w:r>
      <w:r w:rsidR="005B2D91" w:rsidRPr="005B2D91">
        <w:rPr>
          <w:rFonts w:ascii="Arial" w:hAnsi="Arial" w:cs="Arial"/>
          <w:sz w:val="24"/>
          <w:szCs w:val="24"/>
        </w:rPr>
        <w:t xml:space="preserve">Advisory Committee of the Governing Body </w:t>
      </w:r>
      <w:r w:rsidRPr="005B2D91">
        <w:rPr>
          <w:rFonts w:ascii="Arial" w:hAnsi="Arial" w:cs="Arial"/>
          <w:sz w:val="24"/>
          <w:szCs w:val="24"/>
        </w:rPr>
        <w:t>on implementation of this policy.</w:t>
      </w:r>
      <w:r w:rsidR="00C06601" w:rsidRPr="005B2D91">
        <w:rPr>
          <w:rFonts w:ascii="Arial" w:hAnsi="Arial" w:cs="Arial"/>
          <w:sz w:val="24"/>
          <w:szCs w:val="24"/>
        </w:rPr>
        <w:t xml:space="preserve">    </w:t>
      </w:r>
    </w:p>
    <w:p w14:paraId="7FADD68B" w14:textId="77777777" w:rsidR="005A1DD2" w:rsidRPr="00873B86" w:rsidRDefault="005A1DD2" w:rsidP="004F4FBE">
      <w:pPr>
        <w:pStyle w:val="Heading2"/>
        <w:jc w:val="both"/>
        <w:rPr>
          <w:lang w:val="en-GB" w:eastAsia="en-GB"/>
        </w:rPr>
      </w:pPr>
      <w:r w:rsidRPr="00873B86">
        <w:rPr>
          <w:lang w:val="en-GB" w:eastAsia="en-GB"/>
        </w:rPr>
        <w:lastRenderedPageBreak/>
        <w:t>Policy Review</w:t>
      </w:r>
    </w:p>
    <w:p w14:paraId="4B0C8CC7" w14:textId="7E08DFB2" w:rsidR="005A1DD2" w:rsidRPr="00873B86" w:rsidRDefault="005A1DD2"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 xml:space="preserve">This Policy will be reviewed annually.  All updates to the Policy will be circulated to staff and made available on the </w:t>
      </w:r>
      <w:r w:rsidR="00D64B33" w:rsidRPr="00873B86">
        <w:rPr>
          <w:rFonts w:ascii="Arial" w:eastAsia="Times New Roman" w:hAnsi="Arial" w:cs="Arial"/>
          <w:color w:val="000000"/>
          <w:sz w:val="24"/>
          <w:szCs w:val="24"/>
          <w:lang w:val="en-GB" w:eastAsia="en-GB"/>
        </w:rPr>
        <w:t>PnP</w:t>
      </w:r>
      <w:r w:rsidRPr="00873B86">
        <w:rPr>
          <w:rFonts w:ascii="Arial" w:eastAsia="Times New Roman" w:hAnsi="Arial" w:cs="Arial"/>
          <w:color w:val="000000"/>
          <w:sz w:val="24"/>
          <w:szCs w:val="24"/>
          <w:lang w:val="en-GB" w:eastAsia="en-GB"/>
        </w:rPr>
        <w:t xml:space="preserve"> website.</w:t>
      </w:r>
    </w:p>
    <w:p w14:paraId="3B8198EB" w14:textId="77777777" w:rsidR="005A1DD2" w:rsidRPr="005A1DD2" w:rsidRDefault="005A1DD2" w:rsidP="004F4FBE">
      <w:pPr>
        <w:pStyle w:val="Heading2"/>
        <w:jc w:val="both"/>
        <w:rPr>
          <w:lang w:val="en-GB" w:eastAsia="en-GB"/>
        </w:rPr>
      </w:pPr>
      <w:r w:rsidRPr="005A1DD2">
        <w:rPr>
          <w:lang w:val="en-GB" w:eastAsia="en-GB"/>
        </w:rPr>
        <w:t>Definitions</w:t>
      </w:r>
    </w:p>
    <w:p w14:paraId="75D4350D" w14:textId="77777777" w:rsidR="005A1DD2" w:rsidRPr="00873B86" w:rsidRDefault="005A1DD2"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This Policy includes a list of definitions related to safeguarding (Annex 1) and examples of a safeguarding concern (Annex 2).</w:t>
      </w:r>
    </w:p>
    <w:p w14:paraId="60DBA1C2" w14:textId="77E5370E" w:rsidR="005A1DD2" w:rsidRPr="005A1DD2" w:rsidRDefault="004353EA" w:rsidP="004F4FBE">
      <w:pPr>
        <w:shd w:val="clear" w:color="auto" w:fill="FFFFFF"/>
        <w:spacing w:after="150" w:line="400" w:lineRule="atLeast"/>
        <w:jc w:val="both"/>
        <w:rPr>
          <w:rFonts w:ascii="Verdana" w:eastAsia="Times New Roman" w:hAnsi="Verdana" w:cs="Times New Roman"/>
          <w:color w:val="000000"/>
          <w:sz w:val="24"/>
          <w:szCs w:val="24"/>
          <w:lang w:val="en-GB" w:eastAsia="en-GB"/>
        </w:rPr>
      </w:pPr>
      <w:r>
        <w:rPr>
          <w:rFonts w:ascii="Verdana" w:eastAsia="Times New Roman" w:hAnsi="Verdana" w:cs="Times New Roman"/>
          <w:color w:val="000000"/>
          <w:sz w:val="24"/>
          <w:szCs w:val="24"/>
          <w:lang w:val="en-GB" w:eastAsia="en-GB"/>
        </w:rPr>
        <w:pict w14:anchorId="63C1F75E">
          <v:rect id="_x0000_i1025" style="width:0;height:0" o:hralign="center" o:hrstd="t" o:hr="t" fillcolor="#a0a0a0" stroked="f"/>
        </w:pict>
      </w:r>
    </w:p>
    <w:p w14:paraId="64D972FB" w14:textId="77777777" w:rsidR="005A1DD2" w:rsidRPr="005A1DD2" w:rsidRDefault="005A1DD2" w:rsidP="004F4FBE">
      <w:pPr>
        <w:pStyle w:val="Heading2"/>
        <w:jc w:val="both"/>
        <w:rPr>
          <w:lang w:val="en-GB" w:eastAsia="en-GB"/>
        </w:rPr>
      </w:pPr>
      <w:r w:rsidRPr="005A1DD2">
        <w:rPr>
          <w:lang w:val="en-GB" w:eastAsia="en-GB"/>
        </w:rPr>
        <w:t>Annex 1 – Definitions</w:t>
      </w:r>
    </w:p>
    <w:p w14:paraId="051CE96B" w14:textId="77777777" w:rsidR="005A1DD2" w:rsidRPr="00873B86" w:rsidRDefault="005A1DD2"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b/>
          <w:bCs/>
          <w:color w:val="000000"/>
          <w:sz w:val="24"/>
          <w:szCs w:val="24"/>
          <w:lang w:val="en-GB" w:eastAsia="en-GB"/>
        </w:rPr>
        <w:t>Sexual exploitation</w:t>
      </w:r>
      <w:r w:rsidRPr="00873B86">
        <w:rPr>
          <w:rFonts w:ascii="Arial" w:eastAsia="Times New Roman" w:hAnsi="Arial" w:cs="Arial"/>
          <w:color w:val="000000"/>
          <w:sz w:val="24"/>
          <w:szCs w:val="24"/>
          <w:lang w:val="en-GB" w:eastAsia="en-GB"/>
        </w:rPr>
        <w:t> – actual or attempted abuse of a position of vulnerability, power or trust, for sexual purposes, including but not limited to, profiting monetarily, socially or politically from the sexual exploitation of another.</w:t>
      </w:r>
    </w:p>
    <w:p w14:paraId="4133665E" w14:textId="77777777" w:rsidR="005A1DD2" w:rsidRPr="00873B86" w:rsidRDefault="005A1DD2"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b/>
          <w:bCs/>
          <w:color w:val="000000"/>
          <w:sz w:val="24"/>
          <w:szCs w:val="24"/>
          <w:lang w:val="en-GB" w:eastAsia="en-GB"/>
        </w:rPr>
        <w:t>Sexual abuse</w:t>
      </w:r>
      <w:r w:rsidRPr="00873B86">
        <w:rPr>
          <w:rFonts w:ascii="Arial" w:eastAsia="Times New Roman" w:hAnsi="Arial" w:cs="Arial"/>
          <w:color w:val="000000"/>
          <w:sz w:val="24"/>
          <w:szCs w:val="24"/>
          <w:lang w:val="en-GB" w:eastAsia="en-GB"/>
        </w:rPr>
        <w:t> – the actual or threatened physical intrusion of a sexual nature whether by force or under unequal or coercive conditions.</w:t>
      </w:r>
    </w:p>
    <w:p w14:paraId="6BEAFC56" w14:textId="77777777" w:rsidR="005A1DD2" w:rsidRPr="00873B86" w:rsidRDefault="005A1DD2"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b/>
          <w:bCs/>
          <w:color w:val="000000"/>
          <w:sz w:val="24"/>
          <w:szCs w:val="24"/>
          <w:lang w:val="en-GB" w:eastAsia="en-GB"/>
        </w:rPr>
        <w:t>Child sexual exploitation </w:t>
      </w:r>
      <w:r w:rsidRPr="00873B86">
        <w:rPr>
          <w:rFonts w:ascii="Arial" w:eastAsia="Times New Roman" w:hAnsi="Arial" w:cs="Arial"/>
          <w:color w:val="000000"/>
          <w:sz w:val="24"/>
          <w:szCs w:val="24"/>
          <w:lang w:val="en-GB" w:eastAsia="en-GB"/>
        </w:rPr>
        <w:t>includes sexual relations with a </w:t>
      </w:r>
      <w:r w:rsidRPr="00873B86">
        <w:rPr>
          <w:rFonts w:ascii="Arial" w:eastAsia="Times New Roman" w:hAnsi="Arial" w:cs="Arial"/>
          <w:b/>
          <w:bCs/>
          <w:color w:val="000000"/>
          <w:sz w:val="24"/>
          <w:szCs w:val="24"/>
          <w:lang w:val="en-GB" w:eastAsia="en-GB"/>
        </w:rPr>
        <w:t>child</w:t>
      </w:r>
      <w:r w:rsidRPr="00873B86">
        <w:rPr>
          <w:rFonts w:ascii="Arial" w:eastAsia="Times New Roman" w:hAnsi="Arial" w:cs="Arial"/>
          <w:color w:val="000000"/>
          <w:sz w:val="24"/>
          <w:szCs w:val="24"/>
          <w:lang w:val="en-GB" w:eastAsia="en-GB"/>
        </w:rPr>
        <w:t>, in any context, defined as a human being below the age of 18 years. Child sexual exploitation and abuse constitute acts of serious misconduct and are therefore grounds for disciplinary action up to and including termination, and may result in criminal proceedings</w:t>
      </w:r>
    </w:p>
    <w:p w14:paraId="30DF676E" w14:textId="77777777" w:rsidR="005A1DD2" w:rsidRPr="00873B86" w:rsidRDefault="005A1DD2"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b/>
          <w:bCs/>
          <w:color w:val="000000"/>
          <w:sz w:val="24"/>
          <w:szCs w:val="24"/>
          <w:lang w:val="en-GB" w:eastAsia="en-GB"/>
        </w:rPr>
        <w:t>Sexual harassment</w:t>
      </w:r>
      <w:r w:rsidRPr="00873B86">
        <w:rPr>
          <w:rFonts w:ascii="Arial" w:eastAsia="Times New Roman" w:hAnsi="Arial" w:cs="Arial"/>
          <w:color w:val="000000"/>
          <w:sz w:val="24"/>
          <w:szCs w:val="24"/>
          <w:lang w:val="en-GB" w:eastAsia="en-GB"/>
        </w:rPr>
        <w:t> – any conduct, comment, gesture, or contact of a sexual nature, whether on a one-time basis or in a continuous series of incidents:</w:t>
      </w:r>
    </w:p>
    <w:p w14:paraId="058FA7ED" w14:textId="77777777" w:rsidR="005A1DD2" w:rsidRPr="00873B86" w:rsidRDefault="005A1DD2" w:rsidP="004F4FBE">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that might reasonably be expected to cause offence or humiliation to the individual; or</w:t>
      </w:r>
    </w:p>
    <w:p w14:paraId="7329F514" w14:textId="77777777" w:rsidR="005A1DD2" w:rsidRPr="00873B86" w:rsidRDefault="005A1DD2" w:rsidP="004F4FBE">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that might reasonably be perceived by the individual as placing a condition of a sexual nature on employment or on any opportunity for training or promotion.</w:t>
      </w:r>
    </w:p>
    <w:p w14:paraId="2BABF322" w14:textId="77777777" w:rsidR="005A1DD2" w:rsidRPr="00873B86" w:rsidRDefault="005A1DD2"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b/>
          <w:bCs/>
          <w:color w:val="000000"/>
          <w:sz w:val="24"/>
          <w:szCs w:val="24"/>
          <w:lang w:val="en-GB" w:eastAsia="en-GB"/>
        </w:rPr>
        <w:t>Child abuse</w:t>
      </w:r>
      <w:r w:rsidRPr="00873B86">
        <w:rPr>
          <w:rFonts w:ascii="Arial" w:eastAsia="Times New Roman" w:hAnsi="Arial" w:cs="Arial"/>
          <w:color w:val="000000"/>
          <w:sz w:val="24"/>
          <w:szCs w:val="24"/>
          <w:lang w:val="en-GB" w:eastAsia="en-GB"/>
        </w:rPr>
        <w:t> – child abuse includes all forms of physical and emotional ill-treatment, sexual abuse, neglect or negligent treatment, and commercial or other exploitation resulting in actual or potential harm to the child’s health, survival, development or dignity in the context of a relationship of responsibility, trust or power.</w:t>
      </w:r>
    </w:p>
    <w:p w14:paraId="7E9B245B" w14:textId="77777777" w:rsidR="005A1DD2" w:rsidRPr="00873B86" w:rsidRDefault="005A1DD2"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b/>
          <w:bCs/>
          <w:color w:val="000000"/>
          <w:sz w:val="24"/>
          <w:szCs w:val="24"/>
          <w:lang w:val="en-GB" w:eastAsia="en-GB"/>
        </w:rPr>
        <w:t>Child labour</w:t>
      </w:r>
      <w:r w:rsidRPr="00873B86">
        <w:rPr>
          <w:rFonts w:ascii="Arial" w:eastAsia="Times New Roman" w:hAnsi="Arial" w:cs="Arial"/>
          <w:color w:val="000000"/>
          <w:sz w:val="24"/>
          <w:szCs w:val="24"/>
          <w:lang w:val="en-GB" w:eastAsia="en-GB"/>
        </w:rPr>
        <w:t> – child labour is work that deprives children of their childhood, their potential and their dignity, and that is harmful to physical and mental development. It refers to work that is mentally, physically, socially or morally dangerous and harmful to children and interferes with their schooling by depriving them of the opportunity to attend school, obliging them to leave school prematurely or requiring them to attempt to combine school attendance with excessively long and strenuous work. Whilst child labour takes many different forms, the worst forms of child labour Include:</w:t>
      </w:r>
    </w:p>
    <w:p w14:paraId="20CEC26D" w14:textId="5EC475EA" w:rsidR="005A1DD2" w:rsidRPr="00873B86" w:rsidRDefault="005A1DD2" w:rsidP="004F4FBE">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all forms of slavery or practices similar to slavery, such as the sale and trafficking of children, debt bondage and serfdom and forced or compulsory labour, including forced or compulsory recruitment of children for use in armed conflict</w:t>
      </w:r>
      <w:r w:rsidR="00AA5811">
        <w:rPr>
          <w:rFonts w:ascii="Arial" w:eastAsia="Times New Roman" w:hAnsi="Arial" w:cs="Arial"/>
          <w:color w:val="000000"/>
          <w:sz w:val="24"/>
          <w:szCs w:val="24"/>
          <w:lang w:val="en-GB" w:eastAsia="en-GB"/>
        </w:rPr>
        <w:t>,</w:t>
      </w:r>
    </w:p>
    <w:p w14:paraId="3705A3BE" w14:textId="2E1F27CC" w:rsidR="005A1DD2" w:rsidRPr="00873B86" w:rsidRDefault="005A1DD2" w:rsidP="004F4FBE">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lastRenderedPageBreak/>
        <w:t>the use, procuring or offering of a child for prostitution, for the production of pornography or for pornographic performances</w:t>
      </w:r>
      <w:r w:rsidR="00AA5811">
        <w:rPr>
          <w:rFonts w:ascii="Arial" w:eastAsia="Times New Roman" w:hAnsi="Arial" w:cs="Arial"/>
          <w:color w:val="000000"/>
          <w:sz w:val="24"/>
          <w:szCs w:val="24"/>
          <w:lang w:val="en-GB" w:eastAsia="en-GB"/>
        </w:rPr>
        <w:t>,</w:t>
      </w:r>
    </w:p>
    <w:p w14:paraId="6E678930" w14:textId="3B9DF400" w:rsidR="005A1DD2" w:rsidRPr="00873B86" w:rsidRDefault="005A1DD2" w:rsidP="004F4FBE">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the use, procuring or offering of a child for illicit activities, in particular for the production and trafficking of drugs as defined in the relevant international treaties</w:t>
      </w:r>
      <w:r w:rsidR="00AA5811">
        <w:rPr>
          <w:rFonts w:ascii="Arial" w:eastAsia="Times New Roman" w:hAnsi="Arial" w:cs="Arial"/>
          <w:color w:val="000000"/>
          <w:sz w:val="24"/>
          <w:szCs w:val="24"/>
          <w:lang w:val="en-GB" w:eastAsia="en-GB"/>
        </w:rPr>
        <w:t>,</w:t>
      </w:r>
    </w:p>
    <w:p w14:paraId="1506D620" w14:textId="5B066F86" w:rsidR="005A1DD2" w:rsidRDefault="005A1DD2" w:rsidP="004F4FBE">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work which, by its nature or the circumstances in which it is carried out, is likely to harm the health, safety or morals of children.</w:t>
      </w:r>
    </w:p>
    <w:p w14:paraId="20F15F1E" w14:textId="60E1A406" w:rsidR="006D6CD3" w:rsidRPr="006D6CD3" w:rsidRDefault="006D6CD3" w:rsidP="004F4FBE">
      <w:p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6D6CD3">
        <w:rPr>
          <w:rFonts w:ascii="Arial" w:eastAsia="Times New Roman" w:hAnsi="Arial" w:cs="Arial"/>
          <w:b/>
          <w:bCs/>
          <w:color w:val="000000"/>
          <w:sz w:val="24"/>
          <w:szCs w:val="24"/>
          <w:lang w:val="en-GB" w:eastAsia="en-GB"/>
        </w:rPr>
        <w:t>Human Rights</w:t>
      </w:r>
      <w:r w:rsidRPr="006D6CD3">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 xml:space="preserve"> </w:t>
      </w:r>
      <w:r w:rsidRPr="006D6CD3">
        <w:rPr>
          <w:rFonts w:ascii="Arial" w:hAnsi="Arial" w:cs="Arial"/>
          <w:color w:val="202124"/>
          <w:sz w:val="24"/>
          <w:szCs w:val="24"/>
          <w:shd w:val="clear" w:color="auto" w:fill="FFFFFF"/>
        </w:rPr>
        <w:t>In terms of Section 2 of the Protection of Human Rights Act, 1993, "human rights" means the rights relating to life, liberty, equality and dignity of the individual guaranteed under the Constitution or embodied in the International Covenants and enforceable by courts in India.</w:t>
      </w:r>
    </w:p>
    <w:p w14:paraId="4162A2F6" w14:textId="6DF905F2" w:rsidR="005A1DD2" w:rsidRPr="005A1DD2" w:rsidRDefault="004353EA" w:rsidP="004F4FBE">
      <w:pPr>
        <w:shd w:val="clear" w:color="auto" w:fill="FFFFFF"/>
        <w:spacing w:after="150" w:line="400" w:lineRule="atLeast"/>
        <w:jc w:val="both"/>
        <w:rPr>
          <w:rFonts w:ascii="Verdana" w:eastAsia="Times New Roman" w:hAnsi="Verdana" w:cs="Times New Roman"/>
          <w:color w:val="000000"/>
          <w:sz w:val="24"/>
          <w:szCs w:val="24"/>
          <w:lang w:val="en-GB" w:eastAsia="en-GB"/>
        </w:rPr>
      </w:pPr>
      <w:r>
        <w:rPr>
          <w:rFonts w:ascii="Verdana" w:eastAsia="Times New Roman" w:hAnsi="Verdana" w:cs="Times New Roman"/>
          <w:color w:val="000000"/>
          <w:sz w:val="24"/>
          <w:szCs w:val="24"/>
          <w:lang w:val="en-GB" w:eastAsia="en-GB"/>
        </w:rPr>
        <w:pict w14:anchorId="233BC7FD">
          <v:rect id="_x0000_i1026" style="width:0;height:0" o:hralign="center" o:hrstd="t" o:hr="t" fillcolor="#a0a0a0" stroked="f"/>
        </w:pict>
      </w:r>
    </w:p>
    <w:p w14:paraId="00129EB3" w14:textId="77777777" w:rsidR="005A1DD2" w:rsidRPr="005A1DD2" w:rsidRDefault="005A1DD2" w:rsidP="004F4FBE">
      <w:pPr>
        <w:pStyle w:val="Heading2"/>
        <w:jc w:val="both"/>
        <w:rPr>
          <w:lang w:val="en-GB" w:eastAsia="en-GB"/>
        </w:rPr>
      </w:pPr>
      <w:r w:rsidRPr="005A1DD2">
        <w:rPr>
          <w:lang w:val="en-GB" w:eastAsia="en-GB"/>
        </w:rPr>
        <w:t>Annex 2 – Examples of a Safeguarding Concern</w:t>
      </w:r>
    </w:p>
    <w:p w14:paraId="655ED8A5" w14:textId="77777777" w:rsidR="005A1DD2" w:rsidRPr="00873B86" w:rsidRDefault="005A1DD2" w:rsidP="004F4FBE">
      <w:pPr>
        <w:shd w:val="clear" w:color="auto" w:fill="FFFFFF"/>
        <w:spacing w:after="150" w:line="400" w:lineRule="atLeast"/>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Examples of a safeguarding concern or allegation can include but are not limited to:</w:t>
      </w:r>
    </w:p>
    <w:p w14:paraId="02AA24D0" w14:textId="77777777" w:rsidR="005A1DD2" w:rsidRPr="00873B86" w:rsidRDefault="005A1DD2" w:rsidP="004F4FBE">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Sexual exploitation, abuse and harassment–this includes rape, sexual assault, indecent exposure, forcing a person to engage in prostitution or pornography, inappropriate looking or touching</w:t>
      </w:r>
    </w:p>
    <w:p w14:paraId="5452EBC5" w14:textId="77777777" w:rsidR="005A1DD2" w:rsidRPr="00873B86" w:rsidRDefault="005A1DD2" w:rsidP="004F4FBE">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Online or cyberbullying</w:t>
      </w:r>
    </w:p>
    <w:p w14:paraId="0C2BC4DB" w14:textId="77777777" w:rsidR="005A1DD2" w:rsidRPr="00873B86" w:rsidRDefault="005A1DD2" w:rsidP="004F4FBE">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Abuse of trust</w:t>
      </w:r>
    </w:p>
    <w:p w14:paraId="062BB957" w14:textId="77777777" w:rsidR="005A1DD2" w:rsidRPr="00873B86" w:rsidRDefault="005A1DD2" w:rsidP="004F4FBE">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Psychological and emotional abuse</w:t>
      </w:r>
    </w:p>
    <w:p w14:paraId="5671DF6C" w14:textId="77777777" w:rsidR="005A1DD2" w:rsidRPr="00873B86" w:rsidRDefault="005A1DD2" w:rsidP="004F4FBE">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Modern slavery</w:t>
      </w:r>
    </w:p>
    <w:p w14:paraId="69952180" w14:textId="77777777" w:rsidR="005A1DD2" w:rsidRPr="00873B86" w:rsidRDefault="005A1DD2" w:rsidP="004F4FBE">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Child labour</w:t>
      </w:r>
    </w:p>
    <w:p w14:paraId="19332197" w14:textId="65C4FF12" w:rsidR="005A1DD2" w:rsidRPr="00873B86" w:rsidRDefault="005A1DD2" w:rsidP="004F4FBE">
      <w:pPr>
        <w:shd w:val="clear" w:color="auto" w:fill="FFFFFF"/>
        <w:spacing w:after="150" w:line="240" w:lineRule="auto"/>
        <w:jc w:val="both"/>
        <w:rPr>
          <w:rFonts w:ascii="Arial" w:eastAsia="Times New Roman" w:hAnsi="Arial" w:cs="Arial"/>
          <w:color w:val="000000"/>
          <w:sz w:val="24"/>
          <w:szCs w:val="24"/>
          <w:lang w:val="en-GB" w:eastAsia="en-GB"/>
        </w:rPr>
      </w:pPr>
      <w:r w:rsidRPr="00873B86">
        <w:rPr>
          <w:rFonts w:ascii="Arial" w:eastAsia="Times New Roman" w:hAnsi="Arial" w:cs="Arial"/>
          <w:color w:val="000000"/>
          <w:sz w:val="24"/>
          <w:szCs w:val="24"/>
          <w:lang w:val="en-GB" w:eastAsia="en-GB"/>
        </w:rPr>
        <w:t xml:space="preserve">If a potential safeguarding concern under this Policy involves workplace bullying or harassment, including workplace sexual harassment, </w:t>
      </w:r>
      <w:r w:rsidR="00E77EA7">
        <w:rPr>
          <w:rFonts w:ascii="Arial" w:eastAsia="Times New Roman" w:hAnsi="Arial" w:cs="Arial"/>
          <w:color w:val="000000"/>
          <w:sz w:val="24"/>
          <w:szCs w:val="24"/>
          <w:lang w:val="en-GB" w:eastAsia="en-GB"/>
        </w:rPr>
        <w:t xml:space="preserve">PnP </w:t>
      </w:r>
      <w:r w:rsidRPr="00873B86">
        <w:rPr>
          <w:rFonts w:ascii="Arial" w:eastAsia="Times New Roman" w:hAnsi="Arial" w:cs="Arial"/>
          <w:color w:val="000000"/>
          <w:sz w:val="24"/>
          <w:szCs w:val="24"/>
          <w:lang w:val="en-GB" w:eastAsia="en-GB"/>
        </w:rPr>
        <w:t xml:space="preserve">staff should first report the behaviour in accordance with </w:t>
      </w:r>
      <w:r w:rsidR="00E77EA7">
        <w:rPr>
          <w:rFonts w:ascii="Arial" w:eastAsia="Times New Roman" w:hAnsi="Arial" w:cs="Arial"/>
          <w:color w:val="000000"/>
          <w:sz w:val="24"/>
          <w:szCs w:val="24"/>
          <w:lang w:val="en-GB" w:eastAsia="en-GB"/>
        </w:rPr>
        <w:t>PnP</w:t>
      </w:r>
      <w:r w:rsidRPr="00873B86">
        <w:rPr>
          <w:rFonts w:ascii="Arial" w:eastAsia="Times New Roman" w:hAnsi="Arial" w:cs="Arial"/>
          <w:color w:val="000000"/>
          <w:sz w:val="24"/>
          <w:szCs w:val="24"/>
          <w:lang w:val="en-GB" w:eastAsia="en-GB"/>
        </w:rPr>
        <w:t>’s Harassment and Discrimination Policy.</w:t>
      </w:r>
    </w:p>
    <w:p w14:paraId="72B14057" w14:textId="03FD3E84" w:rsidR="00BD780B" w:rsidRPr="00BD780B" w:rsidRDefault="005A1DD2" w:rsidP="004F4FBE">
      <w:pPr>
        <w:shd w:val="clear" w:color="auto" w:fill="FFFFFF"/>
        <w:spacing w:after="150" w:line="400" w:lineRule="atLeast"/>
        <w:jc w:val="both"/>
        <w:rPr>
          <w:rFonts w:ascii="Arial" w:eastAsia="Times New Roman" w:hAnsi="Arial" w:cs="Arial"/>
          <w:sz w:val="24"/>
          <w:szCs w:val="24"/>
          <w:lang w:val="en-GB"/>
        </w:rPr>
      </w:pPr>
      <w:r w:rsidRPr="005A1DD2">
        <w:rPr>
          <w:rFonts w:ascii="Verdana" w:eastAsia="Times New Roman" w:hAnsi="Verdana" w:cs="Times New Roman"/>
          <w:color w:val="000000"/>
          <w:sz w:val="24"/>
          <w:szCs w:val="24"/>
          <w:lang w:val="en-GB" w:eastAsia="en-GB"/>
        </w:rPr>
        <w:t> </w:t>
      </w:r>
    </w:p>
    <w:p w14:paraId="6CB12CAF" w14:textId="77777777" w:rsidR="00E91768" w:rsidRDefault="00E91768" w:rsidP="004F4FBE">
      <w:pPr>
        <w:contextualSpacing/>
        <w:jc w:val="both"/>
        <w:rPr>
          <w:rFonts w:ascii="Arial" w:hAnsi="Arial" w:cs="Arial"/>
          <w:sz w:val="24"/>
          <w:szCs w:val="24"/>
        </w:rPr>
      </w:pPr>
    </w:p>
    <w:sectPr w:rsidR="00E91768" w:rsidSect="005B2D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1861" w14:textId="77777777" w:rsidR="004353EA" w:rsidRDefault="004353EA" w:rsidP="00F80FF4">
      <w:pPr>
        <w:spacing w:after="0" w:line="240" w:lineRule="auto"/>
      </w:pPr>
      <w:r>
        <w:separator/>
      </w:r>
    </w:p>
  </w:endnote>
  <w:endnote w:type="continuationSeparator" w:id="0">
    <w:p w14:paraId="09F925A2" w14:textId="77777777" w:rsidR="004353EA" w:rsidRDefault="004353EA" w:rsidP="00F8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283113"/>
      <w:docPartObj>
        <w:docPartGallery w:val="Page Numbers (Bottom of Page)"/>
        <w:docPartUnique/>
      </w:docPartObj>
    </w:sdtPr>
    <w:sdtEndPr>
      <w:rPr>
        <w:noProof/>
      </w:rPr>
    </w:sdtEndPr>
    <w:sdtContent>
      <w:p w14:paraId="52ABD16C" w14:textId="75962387" w:rsidR="00873B86" w:rsidRDefault="00873B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80A1E" w14:textId="77777777" w:rsidR="00873B86" w:rsidRDefault="00873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9073" w14:textId="77777777" w:rsidR="004353EA" w:rsidRDefault="004353EA" w:rsidP="00F80FF4">
      <w:pPr>
        <w:spacing w:after="0" w:line="240" w:lineRule="auto"/>
      </w:pPr>
      <w:r>
        <w:separator/>
      </w:r>
    </w:p>
  </w:footnote>
  <w:footnote w:type="continuationSeparator" w:id="0">
    <w:p w14:paraId="2A251751" w14:textId="77777777" w:rsidR="004353EA" w:rsidRDefault="004353EA" w:rsidP="00F80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BCC1" w14:textId="3474E029" w:rsidR="00923023" w:rsidRDefault="00923023" w:rsidP="00923023">
    <w:pPr>
      <w:pStyle w:val="Header"/>
      <w:jc w:val="right"/>
    </w:pPr>
    <w:r>
      <w:rPr>
        <w:noProof/>
        <w:lang w:eastAsia="en-IN" w:bidi="hi-IN"/>
      </w:rPr>
      <w:drawing>
        <wp:inline distT="0" distB="0" distL="0" distR="0" wp14:anchorId="02C8415E" wp14:editId="578056AA">
          <wp:extent cx="1197981" cy="438619"/>
          <wp:effectExtent l="19050" t="0" r="2169" b="0"/>
          <wp:docPr id="3" name="Picture 2" descr="shama vt car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a vt card copy.jpg"/>
                  <pic:cNvPicPr/>
                </pic:nvPicPr>
                <pic:blipFill>
                  <a:blip r:embed="rId1"/>
                  <a:stretch>
                    <a:fillRect/>
                  </a:stretch>
                </pic:blipFill>
                <pic:spPr>
                  <a:xfrm>
                    <a:off x="0" y="0"/>
                    <a:ext cx="1197753" cy="438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090"/>
    <w:multiLevelType w:val="multilevel"/>
    <w:tmpl w:val="4B9A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C0FE3"/>
    <w:multiLevelType w:val="multilevel"/>
    <w:tmpl w:val="31DC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965E7"/>
    <w:multiLevelType w:val="hybridMultilevel"/>
    <w:tmpl w:val="C2DE4EF8"/>
    <w:lvl w:ilvl="0" w:tplc="143CC10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74CCE"/>
    <w:multiLevelType w:val="hybridMultilevel"/>
    <w:tmpl w:val="CA885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85613"/>
    <w:multiLevelType w:val="hybridMultilevel"/>
    <w:tmpl w:val="10E8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9563E"/>
    <w:multiLevelType w:val="hybridMultilevel"/>
    <w:tmpl w:val="88A0F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C3EDB"/>
    <w:multiLevelType w:val="hybridMultilevel"/>
    <w:tmpl w:val="A5AC343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0A12846"/>
    <w:multiLevelType w:val="hybridMultilevel"/>
    <w:tmpl w:val="708E6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61F9E"/>
    <w:multiLevelType w:val="hybridMultilevel"/>
    <w:tmpl w:val="D58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F766F"/>
    <w:multiLevelType w:val="multilevel"/>
    <w:tmpl w:val="91A0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C7D2C"/>
    <w:multiLevelType w:val="hybridMultilevel"/>
    <w:tmpl w:val="CA885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D60D1"/>
    <w:multiLevelType w:val="hybridMultilevel"/>
    <w:tmpl w:val="20969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C2120"/>
    <w:multiLevelType w:val="multilevel"/>
    <w:tmpl w:val="EDD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056B4"/>
    <w:multiLevelType w:val="multilevel"/>
    <w:tmpl w:val="12F8F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A5026A"/>
    <w:multiLevelType w:val="hybridMultilevel"/>
    <w:tmpl w:val="ABB857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61322"/>
    <w:multiLevelType w:val="multilevel"/>
    <w:tmpl w:val="4C6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A06DD"/>
    <w:multiLevelType w:val="hybridMultilevel"/>
    <w:tmpl w:val="CA885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96413"/>
    <w:multiLevelType w:val="hybridMultilevel"/>
    <w:tmpl w:val="F50A1C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D32CD"/>
    <w:multiLevelType w:val="multilevel"/>
    <w:tmpl w:val="47D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35EC2"/>
    <w:multiLevelType w:val="multilevel"/>
    <w:tmpl w:val="1FF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84E16"/>
    <w:multiLevelType w:val="multilevel"/>
    <w:tmpl w:val="BE9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B3E7F"/>
    <w:multiLevelType w:val="hybridMultilevel"/>
    <w:tmpl w:val="97C283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C2428D"/>
    <w:multiLevelType w:val="hybridMultilevel"/>
    <w:tmpl w:val="BB68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91C6B"/>
    <w:multiLevelType w:val="hybridMultilevel"/>
    <w:tmpl w:val="F35CB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34971"/>
    <w:multiLevelType w:val="multilevel"/>
    <w:tmpl w:val="6284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924762"/>
    <w:multiLevelType w:val="multilevel"/>
    <w:tmpl w:val="740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20721"/>
    <w:multiLevelType w:val="hybridMultilevel"/>
    <w:tmpl w:val="8082A1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2"/>
  </w:num>
  <w:num w:numId="3">
    <w:abstractNumId w:val="7"/>
  </w:num>
  <w:num w:numId="4">
    <w:abstractNumId w:val="11"/>
  </w:num>
  <w:num w:numId="5">
    <w:abstractNumId w:val="2"/>
  </w:num>
  <w:num w:numId="6">
    <w:abstractNumId w:val="8"/>
  </w:num>
  <w:num w:numId="7">
    <w:abstractNumId w:val="5"/>
  </w:num>
  <w:num w:numId="8">
    <w:abstractNumId w:val="23"/>
  </w:num>
  <w:num w:numId="9">
    <w:abstractNumId w:val="17"/>
  </w:num>
  <w:num w:numId="10">
    <w:abstractNumId w:val="21"/>
  </w:num>
  <w:num w:numId="11">
    <w:abstractNumId w:val="14"/>
  </w:num>
  <w:num w:numId="12">
    <w:abstractNumId w:val="10"/>
  </w:num>
  <w:num w:numId="13">
    <w:abstractNumId w:val="16"/>
  </w:num>
  <w:num w:numId="14">
    <w:abstractNumId w:val="26"/>
  </w:num>
  <w:num w:numId="15">
    <w:abstractNumId w:val="3"/>
  </w:num>
  <w:num w:numId="16">
    <w:abstractNumId w:val="0"/>
  </w:num>
  <w:num w:numId="17">
    <w:abstractNumId w:val="12"/>
  </w:num>
  <w:num w:numId="18">
    <w:abstractNumId w:val="20"/>
  </w:num>
  <w:num w:numId="19">
    <w:abstractNumId w:val="13"/>
  </w:num>
  <w:num w:numId="20">
    <w:abstractNumId w:val="9"/>
  </w:num>
  <w:num w:numId="21">
    <w:abstractNumId w:val="24"/>
  </w:num>
  <w:num w:numId="22">
    <w:abstractNumId w:val="15"/>
  </w:num>
  <w:num w:numId="23">
    <w:abstractNumId w:val="25"/>
  </w:num>
  <w:num w:numId="24">
    <w:abstractNumId w:val="18"/>
  </w:num>
  <w:num w:numId="25">
    <w:abstractNumId w:val="1"/>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B4"/>
    <w:rsid w:val="00006586"/>
    <w:rsid w:val="00043516"/>
    <w:rsid w:val="00056B5C"/>
    <w:rsid w:val="00056D6E"/>
    <w:rsid w:val="00066D7F"/>
    <w:rsid w:val="000E7AC4"/>
    <w:rsid w:val="000F4B37"/>
    <w:rsid w:val="0010755E"/>
    <w:rsid w:val="001369DB"/>
    <w:rsid w:val="00163C97"/>
    <w:rsid w:val="001A374E"/>
    <w:rsid w:val="00203887"/>
    <w:rsid w:val="00203EF7"/>
    <w:rsid w:val="002127FB"/>
    <w:rsid w:val="00212DDA"/>
    <w:rsid w:val="00223509"/>
    <w:rsid w:val="00247289"/>
    <w:rsid w:val="00253052"/>
    <w:rsid w:val="0027492A"/>
    <w:rsid w:val="00282BE1"/>
    <w:rsid w:val="002B6F33"/>
    <w:rsid w:val="002C5EE9"/>
    <w:rsid w:val="002D3E2A"/>
    <w:rsid w:val="0030363E"/>
    <w:rsid w:val="00334C4E"/>
    <w:rsid w:val="00335DDA"/>
    <w:rsid w:val="003435E3"/>
    <w:rsid w:val="00345FC3"/>
    <w:rsid w:val="003527F2"/>
    <w:rsid w:val="00354508"/>
    <w:rsid w:val="00373E46"/>
    <w:rsid w:val="00382590"/>
    <w:rsid w:val="003A7712"/>
    <w:rsid w:val="003C4216"/>
    <w:rsid w:val="003C5ECD"/>
    <w:rsid w:val="004024A9"/>
    <w:rsid w:val="00407E36"/>
    <w:rsid w:val="004241DD"/>
    <w:rsid w:val="004353EA"/>
    <w:rsid w:val="00483187"/>
    <w:rsid w:val="004C1E2D"/>
    <w:rsid w:val="004C562E"/>
    <w:rsid w:val="004D4F18"/>
    <w:rsid w:val="004D5788"/>
    <w:rsid w:val="004F4FBE"/>
    <w:rsid w:val="00520DD2"/>
    <w:rsid w:val="00530C7B"/>
    <w:rsid w:val="00554802"/>
    <w:rsid w:val="00566B86"/>
    <w:rsid w:val="00572C23"/>
    <w:rsid w:val="005A1DD2"/>
    <w:rsid w:val="005A5323"/>
    <w:rsid w:val="005B2D91"/>
    <w:rsid w:val="005B4847"/>
    <w:rsid w:val="005C42A6"/>
    <w:rsid w:val="005D7433"/>
    <w:rsid w:val="005E3BD6"/>
    <w:rsid w:val="005F3B0F"/>
    <w:rsid w:val="00610FD0"/>
    <w:rsid w:val="00641594"/>
    <w:rsid w:val="0064608E"/>
    <w:rsid w:val="00653FA3"/>
    <w:rsid w:val="006A09CA"/>
    <w:rsid w:val="006C02CB"/>
    <w:rsid w:val="006C33B4"/>
    <w:rsid w:val="006D6CD3"/>
    <w:rsid w:val="00710591"/>
    <w:rsid w:val="00752D79"/>
    <w:rsid w:val="0077613E"/>
    <w:rsid w:val="00794A5E"/>
    <w:rsid w:val="00800B08"/>
    <w:rsid w:val="00873B86"/>
    <w:rsid w:val="0088338F"/>
    <w:rsid w:val="008854BF"/>
    <w:rsid w:val="00887C16"/>
    <w:rsid w:val="00897FB2"/>
    <w:rsid w:val="008A601A"/>
    <w:rsid w:val="008B12D7"/>
    <w:rsid w:val="008C72BE"/>
    <w:rsid w:val="008D7E06"/>
    <w:rsid w:val="008E1AB6"/>
    <w:rsid w:val="00912472"/>
    <w:rsid w:val="00917656"/>
    <w:rsid w:val="00923023"/>
    <w:rsid w:val="00983CEB"/>
    <w:rsid w:val="00986877"/>
    <w:rsid w:val="009A2539"/>
    <w:rsid w:val="009B478F"/>
    <w:rsid w:val="009C23CE"/>
    <w:rsid w:val="00A31B42"/>
    <w:rsid w:val="00A44123"/>
    <w:rsid w:val="00A62989"/>
    <w:rsid w:val="00AA5811"/>
    <w:rsid w:val="00AC140C"/>
    <w:rsid w:val="00AE398B"/>
    <w:rsid w:val="00AF773A"/>
    <w:rsid w:val="00B26250"/>
    <w:rsid w:val="00B51C52"/>
    <w:rsid w:val="00B661D3"/>
    <w:rsid w:val="00B67A89"/>
    <w:rsid w:val="00B86CB4"/>
    <w:rsid w:val="00BA16DB"/>
    <w:rsid w:val="00BB03A3"/>
    <w:rsid w:val="00BC5FA5"/>
    <w:rsid w:val="00BD780B"/>
    <w:rsid w:val="00BE1852"/>
    <w:rsid w:val="00BF3236"/>
    <w:rsid w:val="00C06601"/>
    <w:rsid w:val="00C45B62"/>
    <w:rsid w:val="00C70AE8"/>
    <w:rsid w:val="00C73E52"/>
    <w:rsid w:val="00C947AF"/>
    <w:rsid w:val="00CC08C3"/>
    <w:rsid w:val="00CE4CFF"/>
    <w:rsid w:val="00CE7011"/>
    <w:rsid w:val="00CF3EF3"/>
    <w:rsid w:val="00D272E8"/>
    <w:rsid w:val="00D42D87"/>
    <w:rsid w:val="00D46AD1"/>
    <w:rsid w:val="00D64B33"/>
    <w:rsid w:val="00D87585"/>
    <w:rsid w:val="00D8789A"/>
    <w:rsid w:val="00D94FD2"/>
    <w:rsid w:val="00DA553A"/>
    <w:rsid w:val="00E012D4"/>
    <w:rsid w:val="00E54F97"/>
    <w:rsid w:val="00E577BB"/>
    <w:rsid w:val="00E717CE"/>
    <w:rsid w:val="00E77EA7"/>
    <w:rsid w:val="00E91768"/>
    <w:rsid w:val="00EC5895"/>
    <w:rsid w:val="00EE70E5"/>
    <w:rsid w:val="00EF5093"/>
    <w:rsid w:val="00F06440"/>
    <w:rsid w:val="00F06A15"/>
    <w:rsid w:val="00F10B4D"/>
    <w:rsid w:val="00F80FF4"/>
    <w:rsid w:val="00F83ED8"/>
    <w:rsid w:val="00F87995"/>
    <w:rsid w:val="00FC01E0"/>
    <w:rsid w:val="00FD5653"/>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64EE2"/>
  <w15:docId w15:val="{26124095-2186-4600-A244-3EAFC730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CB"/>
  </w:style>
  <w:style w:type="paragraph" w:styleId="Heading1">
    <w:name w:val="heading 1"/>
    <w:basedOn w:val="Normal"/>
    <w:link w:val="Heading1Char"/>
    <w:uiPriority w:val="9"/>
    <w:qFormat/>
    <w:rsid w:val="005A1DD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873B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86"/>
    <w:pPr>
      <w:ind w:left="720"/>
      <w:contextualSpacing/>
    </w:pPr>
  </w:style>
  <w:style w:type="character" w:styleId="CommentReference">
    <w:name w:val="annotation reference"/>
    <w:basedOn w:val="DefaultParagraphFont"/>
    <w:uiPriority w:val="99"/>
    <w:semiHidden/>
    <w:unhideWhenUsed/>
    <w:rsid w:val="000F4B37"/>
    <w:rPr>
      <w:sz w:val="18"/>
      <w:szCs w:val="18"/>
    </w:rPr>
  </w:style>
  <w:style w:type="paragraph" w:styleId="CommentText">
    <w:name w:val="annotation text"/>
    <w:basedOn w:val="Normal"/>
    <w:link w:val="CommentTextChar"/>
    <w:uiPriority w:val="99"/>
    <w:semiHidden/>
    <w:unhideWhenUsed/>
    <w:rsid w:val="000F4B37"/>
    <w:pPr>
      <w:spacing w:line="240" w:lineRule="auto"/>
    </w:pPr>
    <w:rPr>
      <w:sz w:val="24"/>
      <w:szCs w:val="24"/>
    </w:rPr>
  </w:style>
  <w:style w:type="character" w:customStyle="1" w:styleId="CommentTextChar">
    <w:name w:val="Comment Text Char"/>
    <w:basedOn w:val="DefaultParagraphFont"/>
    <w:link w:val="CommentText"/>
    <w:uiPriority w:val="99"/>
    <w:semiHidden/>
    <w:rsid w:val="000F4B37"/>
    <w:rPr>
      <w:sz w:val="24"/>
      <w:szCs w:val="24"/>
    </w:rPr>
  </w:style>
  <w:style w:type="paragraph" w:styleId="CommentSubject">
    <w:name w:val="annotation subject"/>
    <w:basedOn w:val="CommentText"/>
    <w:next w:val="CommentText"/>
    <w:link w:val="CommentSubjectChar"/>
    <w:uiPriority w:val="99"/>
    <w:semiHidden/>
    <w:unhideWhenUsed/>
    <w:rsid w:val="000F4B37"/>
    <w:rPr>
      <w:b/>
      <w:bCs/>
      <w:sz w:val="20"/>
      <w:szCs w:val="20"/>
    </w:rPr>
  </w:style>
  <w:style w:type="character" w:customStyle="1" w:styleId="CommentSubjectChar">
    <w:name w:val="Comment Subject Char"/>
    <w:basedOn w:val="CommentTextChar"/>
    <w:link w:val="CommentSubject"/>
    <w:uiPriority w:val="99"/>
    <w:semiHidden/>
    <w:rsid w:val="000F4B37"/>
    <w:rPr>
      <w:b/>
      <w:bCs/>
      <w:sz w:val="20"/>
      <w:szCs w:val="20"/>
    </w:rPr>
  </w:style>
  <w:style w:type="paragraph" w:styleId="BalloonText">
    <w:name w:val="Balloon Text"/>
    <w:basedOn w:val="Normal"/>
    <w:link w:val="BalloonTextChar"/>
    <w:uiPriority w:val="99"/>
    <w:semiHidden/>
    <w:unhideWhenUsed/>
    <w:rsid w:val="000F4B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4B37"/>
    <w:rPr>
      <w:rFonts w:ascii="Lucida Grande" w:hAnsi="Lucida Grande"/>
      <w:sz w:val="18"/>
      <w:szCs w:val="18"/>
    </w:rPr>
  </w:style>
  <w:style w:type="paragraph" w:styleId="FootnoteText">
    <w:name w:val="footnote text"/>
    <w:basedOn w:val="Normal"/>
    <w:link w:val="FootnoteTextChar"/>
    <w:uiPriority w:val="99"/>
    <w:semiHidden/>
    <w:unhideWhenUsed/>
    <w:rsid w:val="00F80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FF4"/>
    <w:rPr>
      <w:sz w:val="20"/>
      <w:szCs w:val="20"/>
    </w:rPr>
  </w:style>
  <w:style w:type="character" w:styleId="FootnoteReference">
    <w:name w:val="footnote reference"/>
    <w:basedOn w:val="DefaultParagraphFont"/>
    <w:uiPriority w:val="99"/>
    <w:semiHidden/>
    <w:unhideWhenUsed/>
    <w:rsid w:val="00F80FF4"/>
    <w:rPr>
      <w:vertAlign w:val="superscript"/>
    </w:rPr>
  </w:style>
  <w:style w:type="character" w:customStyle="1" w:styleId="Heading1Char">
    <w:name w:val="Heading 1 Char"/>
    <w:basedOn w:val="DefaultParagraphFont"/>
    <w:link w:val="Heading1"/>
    <w:uiPriority w:val="9"/>
    <w:rsid w:val="005A1DD2"/>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5A1D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5A1DD2"/>
    <w:rPr>
      <w:color w:val="0000FF"/>
      <w:u w:val="single"/>
    </w:rPr>
  </w:style>
  <w:style w:type="character" w:styleId="Emphasis">
    <w:name w:val="Emphasis"/>
    <w:basedOn w:val="DefaultParagraphFont"/>
    <w:uiPriority w:val="20"/>
    <w:qFormat/>
    <w:rsid w:val="005A1DD2"/>
    <w:rPr>
      <w:i/>
      <w:iCs/>
    </w:rPr>
  </w:style>
  <w:style w:type="character" w:styleId="Strong">
    <w:name w:val="Strong"/>
    <w:basedOn w:val="DefaultParagraphFont"/>
    <w:uiPriority w:val="22"/>
    <w:qFormat/>
    <w:rsid w:val="005A1DD2"/>
    <w:rPr>
      <w:b/>
      <w:bCs/>
    </w:rPr>
  </w:style>
  <w:style w:type="paragraph" w:customStyle="1" w:styleId="rteindent1">
    <w:name w:val="rteindent1"/>
    <w:basedOn w:val="Normal"/>
    <w:rsid w:val="005A1D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7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B86"/>
  </w:style>
  <w:style w:type="paragraph" w:styleId="Footer">
    <w:name w:val="footer"/>
    <w:basedOn w:val="Normal"/>
    <w:link w:val="FooterChar"/>
    <w:uiPriority w:val="99"/>
    <w:unhideWhenUsed/>
    <w:rsid w:val="0087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B86"/>
  </w:style>
  <w:style w:type="character" w:customStyle="1" w:styleId="Heading2Char">
    <w:name w:val="Heading 2 Char"/>
    <w:basedOn w:val="DefaultParagraphFont"/>
    <w:link w:val="Heading2"/>
    <w:uiPriority w:val="9"/>
    <w:rsid w:val="00873B8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94751">
      <w:bodyDiv w:val="1"/>
      <w:marLeft w:val="0"/>
      <w:marRight w:val="0"/>
      <w:marTop w:val="0"/>
      <w:marBottom w:val="0"/>
      <w:divBdr>
        <w:top w:val="none" w:sz="0" w:space="0" w:color="auto"/>
        <w:left w:val="none" w:sz="0" w:space="0" w:color="auto"/>
        <w:bottom w:val="none" w:sz="0" w:space="0" w:color="auto"/>
        <w:right w:val="none" w:sz="0" w:space="0" w:color="auto"/>
      </w:divBdr>
    </w:div>
    <w:div w:id="1235093914">
      <w:bodyDiv w:val="1"/>
      <w:marLeft w:val="0"/>
      <w:marRight w:val="0"/>
      <w:marTop w:val="0"/>
      <w:marBottom w:val="0"/>
      <w:divBdr>
        <w:top w:val="none" w:sz="0" w:space="0" w:color="auto"/>
        <w:left w:val="none" w:sz="0" w:space="0" w:color="auto"/>
        <w:bottom w:val="none" w:sz="0" w:space="0" w:color="auto"/>
        <w:right w:val="none" w:sz="0" w:space="0" w:color="auto"/>
      </w:divBdr>
      <w:divsChild>
        <w:div w:id="309410730">
          <w:marLeft w:val="0"/>
          <w:marRight w:val="0"/>
          <w:marTop w:val="0"/>
          <w:marBottom w:val="0"/>
          <w:divBdr>
            <w:top w:val="none" w:sz="0" w:space="0" w:color="auto"/>
            <w:left w:val="none" w:sz="0" w:space="0" w:color="auto"/>
            <w:bottom w:val="none" w:sz="0" w:space="0" w:color="auto"/>
            <w:right w:val="none" w:sz="0" w:space="0" w:color="auto"/>
          </w:divBdr>
          <w:divsChild>
            <w:div w:id="31073516">
              <w:marLeft w:val="0"/>
              <w:marRight w:val="0"/>
              <w:marTop w:val="0"/>
              <w:marBottom w:val="0"/>
              <w:divBdr>
                <w:top w:val="none" w:sz="0" w:space="0" w:color="auto"/>
                <w:left w:val="none" w:sz="0" w:space="0" w:color="auto"/>
                <w:bottom w:val="none" w:sz="0" w:space="0" w:color="auto"/>
                <w:right w:val="none" w:sz="0" w:space="0" w:color="auto"/>
              </w:divBdr>
              <w:divsChild>
                <w:div w:id="505946671">
                  <w:marLeft w:val="0"/>
                  <w:marRight w:val="0"/>
                  <w:marTop w:val="0"/>
                  <w:marBottom w:val="0"/>
                  <w:divBdr>
                    <w:top w:val="none" w:sz="0" w:space="0" w:color="auto"/>
                    <w:left w:val="none" w:sz="0" w:space="0" w:color="auto"/>
                    <w:bottom w:val="none" w:sz="0" w:space="0" w:color="auto"/>
                    <w:right w:val="none" w:sz="0" w:space="0" w:color="auto"/>
                  </w:divBdr>
                  <w:divsChild>
                    <w:div w:id="21412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1741">
          <w:marLeft w:val="0"/>
          <w:marRight w:val="0"/>
          <w:marTop w:val="0"/>
          <w:marBottom w:val="0"/>
          <w:divBdr>
            <w:top w:val="none" w:sz="0" w:space="0" w:color="auto"/>
            <w:left w:val="none" w:sz="0" w:space="0" w:color="auto"/>
            <w:bottom w:val="none" w:sz="0" w:space="0" w:color="auto"/>
            <w:right w:val="none" w:sz="0" w:space="0" w:color="auto"/>
          </w:divBdr>
          <w:divsChild>
            <w:div w:id="1957253510">
              <w:marLeft w:val="0"/>
              <w:marRight w:val="0"/>
              <w:marTop w:val="0"/>
              <w:marBottom w:val="0"/>
              <w:divBdr>
                <w:top w:val="none" w:sz="0" w:space="0" w:color="auto"/>
                <w:left w:val="none" w:sz="0" w:space="0" w:color="auto"/>
                <w:bottom w:val="none" w:sz="0" w:space="0" w:color="auto"/>
                <w:right w:val="none" w:sz="0" w:space="0" w:color="auto"/>
              </w:divBdr>
              <w:divsChild>
                <w:div w:id="1199783523">
                  <w:marLeft w:val="0"/>
                  <w:marRight w:val="0"/>
                  <w:marTop w:val="0"/>
                  <w:marBottom w:val="0"/>
                  <w:divBdr>
                    <w:top w:val="none" w:sz="0" w:space="0" w:color="auto"/>
                    <w:left w:val="none" w:sz="0" w:space="0" w:color="auto"/>
                    <w:bottom w:val="none" w:sz="0" w:space="0" w:color="auto"/>
                    <w:right w:val="none" w:sz="0" w:space="0" w:color="auto"/>
                  </w:divBdr>
                  <w:divsChild>
                    <w:div w:id="1228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D111-00F4-EE4B-99BD-11D1CBBF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SMSF</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poojamurada</dc:creator>
  <cp:lastModifiedBy>Sreelatha R</cp:lastModifiedBy>
  <cp:revision>17</cp:revision>
  <cp:lastPrinted>2021-08-30T05:26:00Z</cp:lastPrinted>
  <dcterms:created xsi:type="dcterms:W3CDTF">2021-08-21T01:02:00Z</dcterms:created>
  <dcterms:modified xsi:type="dcterms:W3CDTF">2021-08-30T05:29:00Z</dcterms:modified>
</cp:coreProperties>
</file>